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C2E5" w14:textId="69EED1E7" w:rsidR="002E3C3D" w:rsidRPr="00991D8C" w:rsidRDefault="00690072" w:rsidP="00D77C91">
      <w:pPr>
        <w:spacing w:after="0" w:line="276" w:lineRule="auto"/>
        <w:jc w:val="center"/>
        <w:rPr>
          <w:rFonts w:ascii="Arial" w:hAnsi="Arial" w:cs="Arial"/>
          <w:b/>
          <w:bCs/>
          <w:sz w:val="32"/>
          <w:szCs w:val="32"/>
        </w:rPr>
      </w:pPr>
      <w:r w:rsidRPr="00991D8C">
        <w:rPr>
          <w:rFonts w:ascii="Arial" w:hAnsi="Arial" w:cs="Arial"/>
          <w:b/>
          <w:bCs/>
          <w:sz w:val="32"/>
          <w:szCs w:val="32"/>
        </w:rPr>
        <w:t xml:space="preserve">Confirmation </w:t>
      </w:r>
    </w:p>
    <w:p w14:paraId="5B839D63" w14:textId="77777777" w:rsidR="002E3C3D" w:rsidRPr="00D77C91" w:rsidRDefault="002E3C3D" w:rsidP="00D77C91">
      <w:pPr>
        <w:spacing w:after="0" w:line="276" w:lineRule="auto"/>
        <w:jc w:val="center"/>
        <w:rPr>
          <w:rFonts w:ascii="Arial" w:hAnsi="Arial" w:cs="Arial"/>
          <w:b/>
          <w:bCs/>
          <w:sz w:val="20"/>
          <w:szCs w:val="20"/>
        </w:rPr>
      </w:pPr>
    </w:p>
    <w:p w14:paraId="5C4503A2" w14:textId="77777777" w:rsidR="00D77C91" w:rsidRPr="00D77C91" w:rsidRDefault="00D77C91" w:rsidP="00D77C91">
      <w:pPr>
        <w:spacing w:line="276" w:lineRule="auto"/>
        <w:jc w:val="both"/>
        <w:rPr>
          <w:rFonts w:ascii="Arial" w:hAnsi="Arial" w:cs="Arial"/>
          <w:sz w:val="20"/>
          <w:szCs w:val="20"/>
        </w:rPr>
      </w:pPr>
    </w:p>
    <w:p w14:paraId="26D3C59C" w14:textId="4A633DC1" w:rsidR="00690072" w:rsidRPr="00D77C91" w:rsidRDefault="00690072" w:rsidP="00D77C91">
      <w:pPr>
        <w:spacing w:line="276" w:lineRule="auto"/>
        <w:jc w:val="both"/>
        <w:rPr>
          <w:rFonts w:ascii="Arial" w:hAnsi="Arial" w:cs="Arial"/>
          <w:sz w:val="20"/>
          <w:szCs w:val="20"/>
        </w:rPr>
      </w:pPr>
      <w:r w:rsidRPr="00D77C91">
        <w:rPr>
          <w:rFonts w:ascii="Arial" w:hAnsi="Arial" w:cs="Arial"/>
          <w:sz w:val="20"/>
          <w:szCs w:val="20"/>
        </w:rPr>
        <w:t xml:space="preserve">I am pleased to confirm that </w:t>
      </w:r>
      <w:r w:rsidR="00E21273" w:rsidRPr="00D77C91">
        <w:rPr>
          <w:rFonts w:ascii="Arial" w:hAnsi="Arial" w:cs="Arial"/>
          <w:sz w:val="20"/>
          <w:szCs w:val="20"/>
        </w:rPr>
        <w:t>___________________________________</w:t>
      </w:r>
      <w:r w:rsidRPr="00D77C91">
        <w:rPr>
          <w:rFonts w:ascii="Arial" w:hAnsi="Arial" w:cs="Arial"/>
          <w:sz w:val="20"/>
          <w:szCs w:val="20"/>
        </w:rPr>
        <w:t xml:space="preserve"> supports the ASEAN Circular Economy Business Alliance (ACEBA). We endorse a principles-based Circular Economy approach t</w:t>
      </w:r>
      <w:r w:rsidR="00B33C50" w:rsidRPr="00D77C91">
        <w:rPr>
          <w:rFonts w:ascii="Arial" w:hAnsi="Arial" w:cs="Arial"/>
          <w:sz w:val="20"/>
          <w:szCs w:val="20"/>
        </w:rPr>
        <w:t>o m</w:t>
      </w:r>
      <w:r w:rsidR="00D67DBF" w:rsidRPr="00D77C91">
        <w:rPr>
          <w:rFonts w:ascii="Arial" w:hAnsi="Arial" w:cs="Arial"/>
          <w:sz w:val="20"/>
          <w:szCs w:val="20"/>
        </w:rPr>
        <w:t>itigate</w:t>
      </w:r>
      <w:r w:rsidRPr="00D77C91">
        <w:rPr>
          <w:rFonts w:ascii="Arial" w:hAnsi="Arial" w:cs="Arial"/>
          <w:sz w:val="20"/>
          <w:szCs w:val="20"/>
        </w:rPr>
        <w:t xml:space="preserve"> planetary impacts (particularly climate change, loss of nature and biodiversity, and waste and pollution), through </w:t>
      </w:r>
      <w:r w:rsidR="00003E1A" w:rsidRPr="00D77C91">
        <w:rPr>
          <w:rFonts w:ascii="Arial" w:hAnsi="Arial" w:cs="Arial"/>
          <w:sz w:val="20"/>
          <w:szCs w:val="20"/>
        </w:rPr>
        <w:t xml:space="preserve">the </w:t>
      </w:r>
      <w:r w:rsidRPr="00D77C91">
        <w:rPr>
          <w:rFonts w:ascii="Arial" w:hAnsi="Arial" w:cs="Arial"/>
          <w:sz w:val="20"/>
          <w:szCs w:val="20"/>
        </w:rPr>
        <w:t>more efficient and circular use of materials, energy, water and other natural resources</w:t>
      </w:r>
      <w:r w:rsidR="00D67DBF" w:rsidRPr="00D77C91">
        <w:rPr>
          <w:rFonts w:ascii="Arial" w:hAnsi="Arial" w:cs="Arial"/>
          <w:sz w:val="20"/>
          <w:szCs w:val="20"/>
        </w:rPr>
        <w:t xml:space="preserve"> and</w:t>
      </w:r>
      <w:r w:rsidRPr="00D77C91">
        <w:rPr>
          <w:rFonts w:ascii="Arial" w:hAnsi="Arial" w:cs="Arial"/>
          <w:sz w:val="20"/>
          <w:szCs w:val="20"/>
        </w:rPr>
        <w:t xml:space="preserve"> </w:t>
      </w:r>
      <w:r w:rsidR="00D67DBF" w:rsidRPr="00D77C91">
        <w:rPr>
          <w:rFonts w:ascii="Arial" w:hAnsi="Arial" w:cs="Arial"/>
          <w:sz w:val="20"/>
          <w:szCs w:val="20"/>
        </w:rPr>
        <w:t xml:space="preserve">increasing the substitution by </w:t>
      </w:r>
      <w:r w:rsidRPr="00D77C91">
        <w:rPr>
          <w:rFonts w:ascii="Arial" w:hAnsi="Arial" w:cs="Arial"/>
          <w:sz w:val="20"/>
          <w:szCs w:val="20"/>
        </w:rPr>
        <w:t>renewable</w:t>
      </w:r>
      <w:r w:rsidR="00D67DBF" w:rsidRPr="00D77C91">
        <w:rPr>
          <w:rFonts w:ascii="Arial" w:hAnsi="Arial" w:cs="Arial"/>
          <w:sz w:val="20"/>
          <w:szCs w:val="20"/>
        </w:rPr>
        <w:t xml:space="preserve"> materials and energy</w:t>
      </w:r>
      <w:r w:rsidRPr="00D77C91">
        <w:rPr>
          <w:rFonts w:ascii="Arial" w:hAnsi="Arial" w:cs="Arial"/>
          <w:sz w:val="20"/>
          <w:szCs w:val="20"/>
        </w:rPr>
        <w:t xml:space="preserve">. </w:t>
      </w:r>
    </w:p>
    <w:p w14:paraId="7DB18D87" w14:textId="7C263865" w:rsidR="00B33C50" w:rsidRPr="00D77C91" w:rsidRDefault="00E21273" w:rsidP="00D77C91">
      <w:pPr>
        <w:spacing w:line="276" w:lineRule="auto"/>
        <w:jc w:val="both"/>
        <w:rPr>
          <w:rFonts w:ascii="Arial" w:hAnsi="Arial" w:cs="Arial"/>
          <w:sz w:val="20"/>
          <w:szCs w:val="20"/>
        </w:rPr>
      </w:pPr>
      <w:r w:rsidRPr="00D77C91">
        <w:rPr>
          <w:rFonts w:ascii="Arial" w:hAnsi="Arial" w:cs="Arial"/>
          <w:sz w:val="20"/>
          <w:szCs w:val="20"/>
        </w:rPr>
        <w:t>_____________________________________</w:t>
      </w:r>
      <w:r w:rsidR="00D67DBF" w:rsidRPr="00D77C91">
        <w:rPr>
          <w:rFonts w:ascii="Arial" w:hAnsi="Arial" w:cs="Arial"/>
          <w:sz w:val="20"/>
          <w:szCs w:val="20"/>
        </w:rPr>
        <w:t xml:space="preserve"> commits to business leadership and action </w:t>
      </w:r>
      <w:r w:rsidR="00B33C50" w:rsidRPr="00D77C91">
        <w:rPr>
          <w:rFonts w:ascii="Arial" w:hAnsi="Arial" w:cs="Arial"/>
          <w:sz w:val="20"/>
          <w:szCs w:val="20"/>
        </w:rPr>
        <w:t xml:space="preserve">for implementation of the </w:t>
      </w:r>
      <w:r w:rsidR="00D67DBF" w:rsidRPr="00D77C91">
        <w:rPr>
          <w:rFonts w:ascii="Arial" w:hAnsi="Arial" w:cs="Arial"/>
          <w:sz w:val="20"/>
          <w:szCs w:val="20"/>
        </w:rPr>
        <w:t>Circular Economy in Sout</w:t>
      </w:r>
      <w:r w:rsidR="00881920" w:rsidRPr="00D77C91">
        <w:rPr>
          <w:rFonts w:ascii="Arial" w:hAnsi="Arial" w:cs="Arial"/>
          <w:sz w:val="20"/>
          <w:szCs w:val="20"/>
        </w:rPr>
        <w:t>he</w:t>
      </w:r>
      <w:r w:rsidR="00D67DBF" w:rsidRPr="00D77C91">
        <w:rPr>
          <w:rFonts w:ascii="Arial" w:hAnsi="Arial" w:cs="Arial"/>
          <w:sz w:val="20"/>
          <w:szCs w:val="20"/>
        </w:rPr>
        <w:t xml:space="preserve">ast Asia. We confirm our </w:t>
      </w:r>
      <w:r w:rsidR="00881920" w:rsidRPr="00D77C91">
        <w:rPr>
          <w:rFonts w:ascii="Arial" w:hAnsi="Arial" w:cs="Arial"/>
          <w:sz w:val="20"/>
          <w:szCs w:val="20"/>
        </w:rPr>
        <w:t>p</w:t>
      </w:r>
      <w:r w:rsidR="00D67DBF" w:rsidRPr="00D77C91">
        <w:rPr>
          <w:rFonts w:ascii="Arial" w:hAnsi="Arial" w:cs="Arial"/>
          <w:sz w:val="20"/>
          <w:szCs w:val="20"/>
        </w:rPr>
        <w:t xml:space="preserve">articipation in ACEBA, in accordance with the attached guidance. As </w:t>
      </w:r>
      <w:r w:rsidR="00881920" w:rsidRPr="00D77C91">
        <w:rPr>
          <w:rFonts w:ascii="Arial" w:hAnsi="Arial" w:cs="Arial"/>
          <w:sz w:val="20"/>
          <w:szCs w:val="20"/>
        </w:rPr>
        <w:t>Participant</w:t>
      </w:r>
      <w:r w:rsidR="00D67DBF" w:rsidRPr="00D77C91">
        <w:rPr>
          <w:rFonts w:ascii="Arial" w:hAnsi="Arial" w:cs="Arial"/>
          <w:sz w:val="20"/>
          <w:szCs w:val="20"/>
        </w:rPr>
        <w:t xml:space="preserve"> of ACEBA, we commit</w:t>
      </w:r>
      <w:r w:rsidR="00B33C50" w:rsidRPr="00D77C91">
        <w:rPr>
          <w:rFonts w:ascii="Arial" w:hAnsi="Arial" w:cs="Arial"/>
          <w:sz w:val="20"/>
          <w:szCs w:val="20"/>
        </w:rPr>
        <w:t xml:space="preserve"> -</w:t>
      </w:r>
      <w:r w:rsidR="00D67DBF" w:rsidRPr="00D77C91">
        <w:rPr>
          <w:rFonts w:ascii="Arial" w:hAnsi="Arial" w:cs="Arial"/>
          <w:sz w:val="20"/>
          <w:szCs w:val="20"/>
        </w:rPr>
        <w:t xml:space="preserve"> </w:t>
      </w:r>
      <w:r w:rsidR="00B33C50" w:rsidRPr="00D77C91">
        <w:rPr>
          <w:rFonts w:ascii="Arial" w:hAnsi="Arial" w:cs="Arial"/>
          <w:sz w:val="20"/>
          <w:szCs w:val="20"/>
        </w:rPr>
        <w:t>for an initial period of three years</w:t>
      </w:r>
      <w:r w:rsidR="00881920" w:rsidRPr="00D77C91">
        <w:rPr>
          <w:rFonts w:ascii="Arial" w:hAnsi="Arial" w:cs="Arial"/>
          <w:sz w:val="20"/>
          <w:szCs w:val="20"/>
        </w:rPr>
        <w:t xml:space="preserve"> -: </w:t>
      </w:r>
      <w:r w:rsidR="00D67DBF" w:rsidRPr="00D77C91">
        <w:rPr>
          <w:rFonts w:ascii="Arial" w:hAnsi="Arial" w:cs="Arial"/>
          <w:sz w:val="20"/>
          <w:szCs w:val="20"/>
        </w:rPr>
        <w:t xml:space="preserve">to </w:t>
      </w:r>
      <w:r w:rsidR="00B33C50" w:rsidRPr="00D77C91">
        <w:rPr>
          <w:rFonts w:ascii="Arial" w:hAnsi="Arial" w:cs="Arial"/>
          <w:sz w:val="20"/>
          <w:szCs w:val="20"/>
        </w:rPr>
        <w:t>be an advocate for Circular Economy in our business networks and to our stakeholders</w:t>
      </w:r>
      <w:r w:rsidR="00881920" w:rsidRPr="00D77C91">
        <w:rPr>
          <w:rFonts w:ascii="Arial" w:hAnsi="Arial" w:cs="Arial"/>
          <w:sz w:val="20"/>
          <w:szCs w:val="20"/>
        </w:rPr>
        <w:t>;</w:t>
      </w:r>
      <w:r w:rsidR="00B33C50" w:rsidRPr="00D77C91">
        <w:rPr>
          <w:rFonts w:ascii="Arial" w:hAnsi="Arial" w:cs="Arial"/>
          <w:sz w:val="20"/>
          <w:szCs w:val="20"/>
        </w:rPr>
        <w:t xml:space="preserve"> </w:t>
      </w:r>
      <w:r w:rsidR="00881920" w:rsidRPr="00D77C91">
        <w:rPr>
          <w:rFonts w:ascii="Arial" w:hAnsi="Arial" w:cs="Arial"/>
          <w:sz w:val="20"/>
          <w:szCs w:val="20"/>
        </w:rPr>
        <w:t xml:space="preserve">to </w:t>
      </w:r>
      <w:r w:rsidR="00B33C50" w:rsidRPr="00D77C91">
        <w:rPr>
          <w:rFonts w:ascii="Arial" w:hAnsi="Arial" w:cs="Arial"/>
          <w:sz w:val="20"/>
          <w:szCs w:val="20"/>
        </w:rPr>
        <w:t xml:space="preserve">consider </w:t>
      </w:r>
      <w:r w:rsidR="00003E1A" w:rsidRPr="00D77C91">
        <w:rPr>
          <w:rFonts w:ascii="Arial" w:hAnsi="Arial" w:cs="Arial"/>
          <w:sz w:val="20"/>
          <w:szCs w:val="20"/>
        </w:rPr>
        <w:t xml:space="preserve">and pursue </w:t>
      </w:r>
      <w:r w:rsidR="00B33C50" w:rsidRPr="00D77C91">
        <w:rPr>
          <w:rFonts w:ascii="Arial" w:hAnsi="Arial" w:cs="Arial"/>
          <w:sz w:val="20"/>
          <w:szCs w:val="20"/>
        </w:rPr>
        <w:t>appropriate means of implementing Circular Economy practices in our products, services and operation</w:t>
      </w:r>
      <w:r w:rsidR="001A6889" w:rsidRPr="00D77C91">
        <w:rPr>
          <w:rFonts w:ascii="Arial" w:hAnsi="Arial" w:cs="Arial"/>
          <w:sz w:val="20"/>
          <w:szCs w:val="20"/>
        </w:rPr>
        <w:t>s</w:t>
      </w:r>
      <w:r w:rsidR="00881920" w:rsidRPr="00D77C91">
        <w:rPr>
          <w:rFonts w:ascii="Arial" w:hAnsi="Arial" w:cs="Arial"/>
          <w:sz w:val="20"/>
          <w:szCs w:val="20"/>
        </w:rPr>
        <w:t>; to</w:t>
      </w:r>
      <w:r w:rsidR="00B33C50" w:rsidRPr="00D77C91">
        <w:rPr>
          <w:rFonts w:ascii="Arial" w:hAnsi="Arial" w:cs="Arial"/>
          <w:sz w:val="20"/>
          <w:szCs w:val="20"/>
        </w:rPr>
        <w:t xml:space="preserve"> report to ACEBA on our </w:t>
      </w:r>
      <w:r w:rsidR="00881920" w:rsidRPr="00D77C91">
        <w:rPr>
          <w:rFonts w:ascii="Arial" w:hAnsi="Arial" w:cs="Arial"/>
          <w:sz w:val="20"/>
          <w:szCs w:val="20"/>
        </w:rPr>
        <w:t xml:space="preserve">Circular Economy </w:t>
      </w:r>
      <w:r w:rsidR="00B33C50" w:rsidRPr="00D77C91">
        <w:rPr>
          <w:rFonts w:ascii="Arial" w:hAnsi="Arial" w:cs="Arial"/>
          <w:sz w:val="20"/>
          <w:szCs w:val="20"/>
        </w:rPr>
        <w:t>activities and achievements</w:t>
      </w:r>
      <w:r w:rsidR="00881920" w:rsidRPr="00D77C91">
        <w:rPr>
          <w:rFonts w:ascii="Arial" w:hAnsi="Arial" w:cs="Arial"/>
          <w:sz w:val="20"/>
          <w:szCs w:val="20"/>
        </w:rPr>
        <w:t xml:space="preserve">; </w:t>
      </w:r>
      <w:r w:rsidR="00B33C50" w:rsidRPr="00D77C91">
        <w:rPr>
          <w:rFonts w:ascii="Arial" w:hAnsi="Arial" w:cs="Arial"/>
          <w:sz w:val="20"/>
          <w:szCs w:val="20"/>
        </w:rPr>
        <w:t xml:space="preserve">and </w:t>
      </w:r>
      <w:r w:rsidR="00881920" w:rsidRPr="00D77C91">
        <w:rPr>
          <w:rFonts w:ascii="Arial" w:hAnsi="Arial" w:cs="Arial"/>
          <w:sz w:val="20"/>
          <w:szCs w:val="20"/>
        </w:rPr>
        <w:t xml:space="preserve">to </w:t>
      </w:r>
      <w:r w:rsidR="00B33C50" w:rsidRPr="00D77C91">
        <w:rPr>
          <w:rFonts w:ascii="Arial" w:hAnsi="Arial" w:cs="Arial"/>
          <w:sz w:val="20"/>
          <w:szCs w:val="20"/>
        </w:rPr>
        <w:t>contribute, as appropriate</w:t>
      </w:r>
      <w:r w:rsidR="00881920" w:rsidRPr="00D77C91">
        <w:rPr>
          <w:rFonts w:ascii="Arial" w:hAnsi="Arial" w:cs="Arial"/>
          <w:sz w:val="20"/>
          <w:szCs w:val="20"/>
        </w:rPr>
        <w:t>,</w:t>
      </w:r>
      <w:r w:rsidR="00B33C50" w:rsidRPr="00D77C91">
        <w:rPr>
          <w:rFonts w:ascii="Arial" w:hAnsi="Arial" w:cs="Arial"/>
          <w:sz w:val="20"/>
          <w:szCs w:val="20"/>
        </w:rPr>
        <w:t xml:space="preserve"> to ACEBA’s activities and initiatives. </w:t>
      </w:r>
    </w:p>
    <w:p w14:paraId="5F6B48E7" w14:textId="77777777" w:rsidR="002E3C3D" w:rsidRDefault="002E3C3D" w:rsidP="00D77C91">
      <w:pPr>
        <w:spacing w:line="276" w:lineRule="auto"/>
        <w:jc w:val="both"/>
        <w:rPr>
          <w:rFonts w:ascii="Arial" w:hAnsi="Arial" w:cs="Arial"/>
          <w:sz w:val="20"/>
          <w:szCs w:val="20"/>
        </w:rPr>
      </w:pPr>
    </w:p>
    <w:p w14:paraId="566F65BC" w14:textId="77777777" w:rsidR="00B55C68" w:rsidRDefault="00B55C68" w:rsidP="00D77C91">
      <w:pPr>
        <w:spacing w:line="276" w:lineRule="auto"/>
        <w:jc w:val="both"/>
        <w:rPr>
          <w:rFonts w:ascii="Arial" w:hAnsi="Arial" w:cs="Arial"/>
          <w:sz w:val="20"/>
          <w:szCs w:val="20"/>
        </w:rPr>
      </w:pPr>
    </w:p>
    <w:p w14:paraId="22DF3F95" w14:textId="77777777" w:rsidR="00B55C68" w:rsidRPr="00D77C91" w:rsidRDefault="00B55C68" w:rsidP="00D77C91">
      <w:pPr>
        <w:spacing w:line="276" w:lineRule="auto"/>
        <w:jc w:val="both"/>
        <w:rPr>
          <w:rFonts w:ascii="Arial" w:hAnsi="Arial" w:cs="Arial"/>
          <w:sz w:val="20"/>
          <w:szCs w:val="20"/>
        </w:rPr>
      </w:pPr>
    </w:p>
    <w:p w14:paraId="31D8BF14" w14:textId="77777777" w:rsidR="002E3C3D" w:rsidRPr="00D77C91" w:rsidRDefault="002E3C3D" w:rsidP="00D77C91">
      <w:pPr>
        <w:spacing w:line="276" w:lineRule="auto"/>
        <w:jc w:val="center"/>
        <w:rPr>
          <w:rFonts w:ascii="Arial" w:hAnsi="Arial" w:cs="Arial"/>
          <w:sz w:val="20"/>
          <w:szCs w:val="20"/>
        </w:rPr>
      </w:pPr>
      <w:r w:rsidRPr="00D77C91">
        <w:rPr>
          <w:rFonts w:ascii="Arial" w:hAnsi="Arial" w:cs="Arial"/>
          <w:sz w:val="20"/>
          <w:szCs w:val="20"/>
        </w:rPr>
        <w:t>__________________________</w:t>
      </w:r>
    </w:p>
    <w:p w14:paraId="63273117" w14:textId="77777777" w:rsidR="002E3C3D" w:rsidRPr="00D77C91" w:rsidRDefault="002E3C3D" w:rsidP="00D77C91">
      <w:pPr>
        <w:spacing w:line="276" w:lineRule="auto"/>
        <w:jc w:val="center"/>
        <w:rPr>
          <w:rFonts w:ascii="Arial" w:hAnsi="Arial" w:cs="Arial"/>
          <w:sz w:val="20"/>
          <w:szCs w:val="20"/>
        </w:rPr>
      </w:pPr>
      <w:r w:rsidRPr="00D77C91">
        <w:rPr>
          <w:rFonts w:ascii="Arial" w:hAnsi="Arial" w:cs="Arial"/>
          <w:sz w:val="20"/>
          <w:szCs w:val="20"/>
        </w:rPr>
        <w:t>Signature</w:t>
      </w:r>
    </w:p>
    <w:p w14:paraId="1C547847" w14:textId="77777777" w:rsidR="00D77C91" w:rsidRPr="00D77C91" w:rsidRDefault="00D77C91" w:rsidP="00D77C91">
      <w:pPr>
        <w:spacing w:line="276" w:lineRule="auto"/>
        <w:rPr>
          <w:rFonts w:ascii="Arial" w:hAnsi="Arial" w:cs="Arial"/>
          <w:sz w:val="20"/>
          <w:szCs w:val="20"/>
        </w:rPr>
      </w:pPr>
    </w:p>
    <w:p w14:paraId="6AE3AF4F" w14:textId="5EA9349E" w:rsidR="001A6889" w:rsidRPr="00D77C91" w:rsidRDefault="001A6889" w:rsidP="00D77C91">
      <w:pPr>
        <w:spacing w:line="276" w:lineRule="auto"/>
        <w:rPr>
          <w:rFonts w:ascii="Arial" w:hAnsi="Arial" w:cs="Arial"/>
          <w:sz w:val="20"/>
          <w:szCs w:val="20"/>
        </w:rPr>
      </w:pPr>
      <w:r w:rsidRPr="00D77C91">
        <w:rPr>
          <w:rFonts w:ascii="Arial" w:hAnsi="Arial" w:cs="Arial"/>
          <w:sz w:val="20"/>
          <w:szCs w:val="20"/>
        </w:rPr>
        <w:t xml:space="preserve">Date: </w:t>
      </w:r>
    </w:p>
    <w:p w14:paraId="669FB4A4" w14:textId="73B9FF6B" w:rsidR="001A6889" w:rsidRPr="00D77C91" w:rsidRDefault="001A6889" w:rsidP="00D77C91">
      <w:pPr>
        <w:spacing w:line="276" w:lineRule="auto"/>
        <w:rPr>
          <w:rFonts w:ascii="Arial" w:hAnsi="Arial" w:cs="Arial"/>
          <w:sz w:val="20"/>
          <w:szCs w:val="20"/>
        </w:rPr>
      </w:pPr>
      <w:r w:rsidRPr="00D77C91">
        <w:rPr>
          <w:rFonts w:ascii="Arial" w:hAnsi="Arial" w:cs="Arial"/>
          <w:sz w:val="20"/>
          <w:szCs w:val="20"/>
        </w:rPr>
        <w:t>Name:</w:t>
      </w:r>
    </w:p>
    <w:p w14:paraId="108916B1" w14:textId="0C1EFD76" w:rsidR="001A6889" w:rsidRPr="00D77C91" w:rsidRDefault="001A6889" w:rsidP="00D77C91">
      <w:pPr>
        <w:spacing w:line="276" w:lineRule="auto"/>
        <w:rPr>
          <w:rFonts w:ascii="Arial" w:hAnsi="Arial" w:cs="Arial"/>
          <w:sz w:val="20"/>
          <w:szCs w:val="20"/>
        </w:rPr>
      </w:pPr>
      <w:r w:rsidRPr="00D77C91">
        <w:rPr>
          <w:rFonts w:ascii="Arial" w:hAnsi="Arial" w:cs="Arial"/>
          <w:sz w:val="20"/>
          <w:szCs w:val="20"/>
        </w:rPr>
        <w:t>Organization:</w:t>
      </w:r>
    </w:p>
    <w:p w14:paraId="1F06E991" w14:textId="570876B7" w:rsidR="001A6889" w:rsidRPr="00D77C91" w:rsidRDefault="001A6889" w:rsidP="00D77C91">
      <w:pPr>
        <w:spacing w:line="276" w:lineRule="auto"/>
        <w:rPr>
          <w:rFonts w:ascii="Arial" w:hAnsi="Arial" w:cs="Arial"/>
          <w:sz w:val="20"/>
          <w:szCs w:val="20"/>
        </w:rPr>
      </w:pPr>
      <w:r w:rsidRPr="00D77C91">
        <w:rPr>
          <w:rFonts w:ascii="Arial" w:hAnsi="Arial" w:cs="Arial"/>
          <w:sz w:val="20"/>
          <w:szCs w:val="20"/>
        </w:rPr>
        <w:t xml:space="preserve">Title: </w:t>
      </w:r>
    </w:p>
    <w:p w14:paraId="17A6E8AA" w14:textId="77777777" w:rsidR="003E1446" w:rsidRPr="00D77C91" w:rsidRDefault="003E1446" w:rsidP="00D77C91">
      <w:pPr>
        <w:spacing w:line="276" w:lineRule="auto"/>
        <w:rPr>
          <w:rFonts w:ascii="Arial" w:hAnsi="Arial" w:cs="Arial"/>
          <w:b/>
          <w:bCs/>
          <w:sz w:val="20"/>
          <w:szCs w:val="20"/>
        </w:rPr>
      </w:pPr>
      <w:r w:rsidRPr="00D77C91">
        <w:rPr>
          <w:rFonts w:ascii="Arial" w:hAnsi="Arial" w:cs="Arial"/>
          <w:b/>
          <w:bCs/>
          <w:sz w:val="20"/>
          <w:szCs w:val="20"/>
        </w:rPr>
        <w:br w:type="page"/>
      </w:r>
    </w:p>
    <w:p w14:paraId="31F6CFE0" w14:textId="45603A3C" w:rsidR="0065773E" w:rsidRPr="00D77C91" w:rsidRDefault="0090753A" w:rsidP="00D77C91">
      <w:pPr>
        <w:spacing w:after="0" w:line="276" w:lineRule="auto"/>
        <w:jc w:val="center"/>
        <w:rPr>
          <w:rFonts w:ascii="Arial" w:hAnsi="Arial" w:cs="Arial"/>
          <w:b/>
          <w:bCs/>
          <w:sz w:val="24"/>
          <w:szCs w:val="24"/>
        </w:rPr>
      </w:pPr>
      <w:r w:rsidRPr="00D77C91">
        <w:rPr>
          <w:rFonts w:ascii="Arial" w:hAnsi="Arial" w:cs="Arial"/>
          <w:b/>
          <w:bCs/>
          <w:sz w:val="24"/>
          <w:szCs w:val="24"/>
        </w:rPr>
        <w:lastRenderedPageBreak/>
        <w:t xml:space="preserve">The </w:t>
      </w:r>
      <w:r w:rsidR="0065773E" w:rsidRPr="00D77C91">
        <w:rPr>
          <w:rFonts w:ascii="Arial" w:hAnsi="Arial" w:cs="Arial"/>
          <w:b/>
          <w:bCs/>
          <w:sz w:val="24"/>
          <w:szCs w:val="24"/>
        </w:rPr>
        <w:t>ASEAN Circular Economy Business Alliance</w:t>
      </w:r>
      <w:r w:rsidR="00533A78" w:rsidRPr="00D77C91">
        <w:rPr>
          <w:rFonts w:ascii="Arial" w:hAnsi="Arial" w:cs="Arial"/>
          <w:b/>
          <w:bCs/>
          <w:sz w:val="24"/>
          <w:szCs w:val="24"/>
        </w:rPr>
        <w:t xml:space="preserve"> (ACEBA)</w:t>
      </w:r>
    </w:p>
    <w:p w14:paraId="022AE673" w14:textId="77777777" w:rsidR="00BF1635" w:rsidRPr="00D77C91" w:rsidRDefault="00470980" w:rsidP="00D77C91">
      <w:pPr>
        <w:spacing w:after="0" w:line="276" w:lineRule="auto"/>
        <w:jc w:val="center"/>
        <w:rPr>
          <w:rFonts w:ascii="Arial" w:hAnsi="Arial" w:cs="Arial"/>
          <w:i/>
          <w:iCs/>
          <w:sz w:val="24"/>
          <w:szCs w:val="24"/>
        </w:rPr>
      </w:pPr>
      <w:r w:rsidRPr="00D77C91">
        <w:rPr>
          <w:rFonts w:ascii="Arial" w:hAnsi="Arial" w:cs="Arial"/>
          <w:i/>
          <w:iCs/>
          <w:sz w:val="24"/>
          <w:szCs w:val="24"/>
        </w:rPr>
        <w:t xml:space="preserve">Catalyst for business action for the regional circular economy </w:t>
      </w:r>
    </w:p>
    <w:p w14:paraId="0D9F4D92" w14:textId="42D783B2" w:rsidR="00533A78" w:rsidRPr="00D77C91" w:rsidRDefault="00470980" w:rsidP="00D77C91">
      <w:pPr>
        <w:spacing w:after="0" w:line="276" w:lineRule="auto"/>
        <w:jc w:val="center"/>
        <w:rPr>
          <w:rFonts w:ascii="Arial" w:hAnsi="Arial" w:cs="Arial"/>
          <w:i/>
          <w:iCs/>
          <w:sz w:val="24"/>
          <w:szCs w:val="24"/>
        </w:rPr>
      </w:pPr>
      <w:r w:rsidRPr="00D77C91">
        <w:rPr>
          <w:rFonts w:ascii="Arial" w:hAnsi="Arial" w:cs="Arial"/>
          <w:i/>
          <w:iCs/>
          <w:sz w:val="24"/>
          <w:szCs w:val="24"/>
        </w:rPr>
        <w:t>transition in Southeast Asia</w:t>
      </w:r>
      <w:r w:rsidR="00A508E9" w:rsidRPr="00D77C91">
        <w:rPr>
          <w:rFonts w:ascii="Arial" w:hAnsi="Arial" w:cs="Arial"/>
          <w:i/>
          <w:iCs/>
          <w:sz w:val="24"/>
          <w:szCs w:val="24"/>
        </w:rPr>
        <w:t xml:space="preserve"> </w:t>
      </w:r>
    </w:p>
    <w:p w14:paraId="6BDDC23A" w14:textId="77777777" w:rsidR="0090753A" w:rsidRPr="00D77C91" w:rsidRDefault="0090753A" w:rsidP="00D77C91">
      <w:pPr>
        <w:spacing w:after="0" w:line="276" w:lineRule="auto"/>
        <w:rPr>
          <w:rFonts w:ascii="Arial" w:hAnsi="Arial" w:cs="Arial"/>
          <w:b/>
          <w:bCs/>
          <w:sz w:val="20"/>
          <w:szCs w:val="20"/>
        </w:rPr>
      </w:pPr>
    </w:p>
    <w:p w14:paraId="721743CA" w14:textId="188D6ECB" w:rsidR="00BB1DA9" w:rsidRPr="00D77C91" w:rsidRDefault="00BB1DA9" w:rsidP="00D77C91">
      <w:pPr>
        <w:spacing w:line="276" w:lineRule="auto"/>
        <w:jc w:val="both"/>
        <w:rPr>
          <w:rFonts w:ascii="Arial" w:hAnsi="Arial" w:cs="Arial"/>
          <w:b/>
          <w:bCs/>
          <w:i/>
          <w:iCs/>
          <w:sz w:val="20"/>
          <w:szCs w:val="20"/>
        </w:rPr>
      </w:pPr>
      <w:r w:rsidRPr="00D77C91">
        <w:rPr>
          <w:rFonts w:ascii="Arial" w:hAnsi="Arial" w:cs="Arial"/>
          <w:b/>
          <w:bCs/>
          <w:i/>
          <w:iCs/>
          <w:sz w:val="20"/>
          <w:szCs w:val="20"/>
        </w:rPr>
        <w:t xml:space="preserve">The ASEAN Circular Economy Business Alliance (ACEBA) recognizes that business and industry cannot strive in an economy and society that fail to protect and maintain our common planet in a habitable manner for all </w:t>
      </w:r>
      <w:r w:rsidR="006F01AE" w:rsidRPr="00D77C91">
        <w:rPr>
          <w:rFonts w:ascii="Arial" w:hAnsi="Arial" w:cs="Arial"/>
          <w:b/>
          <w:bCs/>
          <w:i/>
          <w:iCs/>
          <w:sz w:val="20"/>
          <w:szCs w:val="20"/>
        </w:rPr>
        <w:t xml:space="preserve">and for ever </w:t>
      </w:r>
      <w:r w:rsidRPr="00D77C91">
        <w:rPr>
          <w:rFonts w:ascii="Arial" w:hAnsi="Arial" w:cs="Arial"/>
          <w:b/>
          <w:bCs/>
          <w:i/>
          <w:iCs/>
          <w:sz w:val="20"/>
          <w:szCs w:val="20"/>
        </w:rPr>
        <w:t xml:space="preserve">and therefore commits to lead by example in addressing root causes of planetary crises through the adoption of Circular Economy. </w:t>
      </w:r>
    </w:p>
    <w:p w14:paraId="01908F67" w14:textId="77777777" w:rsidR="00BB1DA9" w:rsidRPr="00D77C91" w:rsidRDefault="00BB1DA9" w:rsidP="00D77C91">
      <w:pPr>
        <w:spacing w:after="0" w:line="276" w:lineRule="auto"/>
        <w:rPr>
          <w:rFonts w:ascii="Arial" w:hAnsi="Arial" w:cs="Arial"/>
          <w:b/>
          <w:bCs/>
          <w:sz w:val="20"/>
          <w:szCs w:val="20"/>
        </w:rPr>
      </w:pPr>
      <w:r w:rsidRPr="00D77C91">
        <w:rPr>
          <w:rFonts w:ascii="Arial" w:hAnsi="Arial" w:cs="Arial"/>
          <w:b/>
          <w:bCs/>
          <w:sz w:val="20"/>
          <w:szCs w:val="20"/>
        </w:rPr>
        <w:t>Context</w:t>
      </w:r>
    </w:p>
    <w:p w14:paraId="21DA0F01" w14:textId="77777777" w:rsidR="00BB1DA9"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 xml:space="preserve">The world is experiencing global change in environment, nature and climate, at an unprecedented pace and scale, through the combined impacts of climate change, loss of nature and biodiversity, and accumulation of waste and pollution. These triple planetary crises pose a pertinent threat to decent human life for current and future generations and have the unsustainable and ever-expanding use of materials, energy, water, land and other natural resources as their root cause. </w:t>
      </w:r>
    </w:p>
    <w:p w14:paraId="457E4FC3" w14:textId="4A459CA1" w:rsidR="00BB1DA9"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 xml:space="preserve">The </w:t>
      </w:r>
      <w:r w:rsidR="006F01AE" w:rsidRPr="00D77C91">
        <w:rPr>
          <w:rFonts w:ascii="Arial" w:hAnsi="Arial" w:cs="Arial"/>
          <w:sz w:val="20"/>
          <w:szCs w:val="20"/>
        </w:rPr>
        <w:t xml:space="preserve">– </w:t>
      </w:r>
      <w:r w:rsidRPr="00D77C91">
        <w:rPr>
          <w:rFonts w:ascii="Arial" w:hAnsi="Arial" w:cs="Arial"/>
          <w:sz w:val="20"/>
          <w:szCs w:val="20"/>
        </w:rPr>
        <w:t>social</w:t>
      </w:r>
      <w:r w:rsidR="006F01AE" w:rsidRPr="00D77C91">
        <w:rPr>
          <w:rFonts w:ascii="Arial" w:hAnsi="Arial" w:cs="Arial"/>
          <w:sz w:val="20"/>
          <w:szCs w:val="20"/>
        </w:rPr>
        <w:t xml:space="preserve"> -</w:t>
      </w:r>
      <w:r w:rsidRPr="00D77C91">
        <w:rPr>
          <w:rFonts w:ascii="Arial" w:hAnsi="Arial" w:cs="Arial"/>
          <w:sz w:val="20"/>
          <w:szCs w:val="20"/>
        </w:rPr>
        <w:t xml:space="preserve"> responsibility of business and industry for the impacts of </w:t>
      </w:r>
      <w:r w:rsidR="006F01AE" w:rsidRPr="00D77C91">
        <w:rPr>
          <w:rFonts w:ascii="Arial" w:hAnsi="Arial" w:cs="Arial"/>
          <w:sz w:val="20"/>
          <w:szCs w:val="20"/>
        </w:rPr>
        <w:t xml:space="preserve">its </w:t>
      </w:r>
      <w:r w:rsidRPr="00D77C91">
        <w:rPr>
          <w:rFonts w:ascii="Arial" w:hAnsi="Arial" w:cs="Arial"/>
          <w:sz w:val="20"/>
          <w:szCs w:val="20"/>
        </w:rPr>
        <w:t xml:space="preserve">activities and decisions on society and environment includes these triple planetary impacts of the </w:t>
      </w:r>
      <w:r w:rsidR="00003E1A" w:rsidRPr="00D77C91">
        <w:rPr>
          <w:rFonts w:ascii="Arial" w:hAnsi="Arial" w:cs="Arial"/>
          <w:sz w:val="20"/>
          <w:szCs w:val="20"/>
        </w:rPr>
        <w:t xml:space="preserve">use of </w:t>
      </w:r>
      <w:r w:rsidRPr="00D77C91">
        <w:rPr>
          <w:rFonts w:ascii="Arial" w:hAnsi="Arial" w:cs="Arial"/>
          <w:sz w:val="20"/>
          <w:szCs w:val="20"/>
        </w:rPr>
        <w:t>resource</w:t>
      </w:r>
      <w:r w:rsidR="00003E1A" w:rsidRPr="00D77C91">
        <w:rPr>
          <w:rFonts w:ascii="Arial" w:hAnsi="Arial" w:cs="Arial"/>
          <w:sz w:val="20"/>
          <w:szCs w:val="20"/>
        </w:rPr>
        <w:t>s</w:t>
      </w:r>
      <w:r w:rsidRPr="00D77C91">
        <w:rPr>
          <w:rFonts w:ascii="Arial" w:hAnsi="Arial" w:cs="Arial"/>
          <w:sz w:val="20"/>
          <w:szCs w:val="20"/>
        </w:rPr>
        <w:t xml:space="preserve"> </w:t>
      </w:r>
      <w:r w:rsidR="000F61CA" w:rsidRPr="00D77C91">
        <w:rPr>
          <w:rFonts w:ascii="Arial" w:hAnsi="Arial" w:cs="Arial"/>
          <w:sz w:val="20"/>
          <w:szCs w:val="20"/>
        </w:rPr>
        <w:t xml:space="preserve">over the lifecycle of in </w:t>
      </w:r>
      <w:r w:rsidR="006F01AE" w:rsidRPr="00D77C91">
        <w:rPr>
          <w:rFonts w:ascii="Arial" w:hAnsi="Arial" w:cs="Arial"/>
          <w:sz w:val="20"/>
          <w:szCs w:val="20"/>
        </w:rPr>
        <w:t xml:space="preserve">its </w:t>
      </w:r>
      <w:r w:rsidRPr="00D77C91">
        <w:rPr>
          <w:rFonts w:ascii="Arial" w:hAnsi="Arial" w:cs="Arial"/>
          <w:sz w:val="20"/>
          <w:szCs w:val="20"/>
        </w:rPr>
        <w:t xml:space="preserve">products and services. With circularity in mind, business and industry can minimize and circularize the use of natural resources throughout the lifecycle of </w:t>
      </w:r>
      <w:r w:rsidR="006F01AE" w:rsidRPr="00D77C91">
        <w:rPr>
          <w:rFonts w:ascii="Arial" w:hAnsi="Arial" w:cs="Arial"/>
          <w:sz w:val="20"/>
          <w:szCs w:val="20"/>
        </w:rPr>
        <w:t xml:space="preserve">its </w:t>
      </w:r>
      <w:r w:rsidRPr="00D77C91">
        <w:rPr>
          <w:rFonts w:ascii="Arial" w:hAnsi="Arial" w:cs="Arial"/>
          <w:sz w:val="20"/>
          <w:szCs w:val="20"/>
        </w:rPr>
        <w:t xml:space="preserve">products and services, thereby leading the mitigation of triple planetary impacts on environment and society. </w:t>
      </w:r>
    </w:p>
    <w:p w14:paraId="19C6CC3D" w14:textId="77777777" w:rsidR="00BB1DA9" w:rsidRPr="00D77C91" w:rsidRDefault="00BB1DA9" w:rsidP="00D77C91">
      <w:pPr>
        <w:spacing w:after="0" w:line="276" w:lineRule="auto"/>
        <w:jc w:val="both"/>
        <w:rPr>
          <w:rFonts w:ascii="Arial" w:hAnsi="Arial" w:cs="Arial"/>
          <w:b/>
          <w:bCs/>
          <w:sz w:val="20"/>
          <w:szCs w:val="20"/>
        </w:rPr>
      </w:pPr>
      <w:r w:rsidRPr="00D77C91">
        <w:rPr>
          <w:rFonts w:ascii="Arial" w:hAnsi="Arial" w:cs="Arial"/>
          <w:b/>
          <w:bCs/>
          <w:sz w:val="20"/>
          <w:szCs w:val="20"/>
        </w:rPr>
        <w:t>Business Action</w:t>
      </w:r>
    </w:p>
    <w:p w14:paraId="7A95FA9A" w14:textId="35E1A6D5" w:rsidR="00BB1DA9"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 xml:space="preserve">The Association of </w:t>
      </w:r>
      <w:r w:rsidR="0090753A" w:rsidRPr="00D77C91">
        <w:rPr>
          <w:rFonts w:ascii="Arial" w:hAnsi="Arial" w:cs="Arial"/>
          <w:sz w:val="20"/>
          <w:szCs w:val="20"/>
        </w:rPr>
        <w:t>Southeast</w:t>
      </w:r>
      <w:r w:rsidRPr="00D77C91">
        <w:rPr>
          <w:rFonts w:ascii="Arial" w:hAnsi="Arial" w:cs="Arial"/>
          <w:sz w:val="20"/>
          <w:szCs w:val="20"/>
        </w:rPr>
        <w:t xml:space="preserve"> Asian Nations (ASEAN) adopted in 2021 its ASEAN Circular Economy Framework to advance the ASEAN Economic Community by improving the resilience of the economy, resource efficiency</w:t>
      </w:r>
      <w:r w:rsidR="000F61CA" w:rsidRPr="00D77C91">
        <w:rPr>
          <w:rFonts w:ascii="Arial" w:hAnsi="Arial" w:cs="Arial"/>
          <w:sz w:val="20"/>
          <w:szCs w:val="20"/>
        </w:rPr>
        <w:t>,</w:t>
      </w:r>
      <w:r w:rsidRPr="00D77C91">
        <w:rPr>
          <w:rFonts w:ascii="Arial" w:hAnsi="Arial" w:cs="Arial"/>
          <w:sz w:val="20"/>
          <w:szCs w:val="20"/>
        </w:rPr>
        <w:t xml:space="preserve"> and sustainable growth. This Framework recognizes the critical role of business, working with its supply chains and stakeholders and through its support ecosystems, to develop and commercialize circular products and services that ultimate realize the Circular Economy transition. </w:t>
      </w:r>
    </w:p>
    <w:p w14:paraId="66BBD9DB" w14:textId="533E2233" w:rsidR="00BB1DA9"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The ASEAN Corporate Social Responsibility Network (A CN) and its affiliated ASEAN Responsible And Inclusive Business Alliance (ARAIBA), which operate</w:t>
      </w:r>
      <w:r w:rsidR="000F61CA" w:rsidRPr="00D77C91">
        <w:rPr>
          <w:rFonts w:ascii="Arial" w:hAnsi="Arial" w:cs="Arial"/>
          <w:sz w:val="20"/>
          <w:szCs w:val="20"/>
        </w:rPr>
        <w:t>s</w:t>
      </w:r>
      <w:r w:rsidRPr="00D77C91">
        <w:rPr>
          <w:rFonts w:ascii="Arial" w:hAnsi="Arial" w:cs="Arial"/>
          <w:sz w:val="20"/>
          <w:szCs w:val="20"/>
        </w:rPr>
        <w:t xml:space="preserve"> as the ASEAN entity spearheading inclusive and responsible business, identified divergent interpretations and lack of an ASEAN-centric view on business opportunities as key bottlenecks for active business engagement in the Circular Economy transition. In a strategic partnership with the ASEAN Business Advisory Council (ABAC), and upon extensive consultations with business in ASEAN Member States, supported by the European </w:t>
      </w:r>
      <w:r w:rsidR="006F01AE" w:rsidRPr="00D77C91">
        <w:rPr>
          <w:rFonts w:ascii="Arial" w:hAnsi="Arial" w:cs="Arial"/>
          <w:sz w:val="20"/>
          <w:szCs w:val="20"/>
        </w:rPr>
        <w:t xml:space="preserve">Union’s </w:t>
      </w:r>
      <w:r w:rsidRPr="00D77C91">
        <w:rPr>
          <w:rFonts w:ascii="Arial" w:hAnsi="Arial" w:cs="Arial"/>
          <w:sz w:val="20"/>
          <w:szCs w:val="20"/>
        </w:rPr>
        <w:t>SWITCH Asia Programme</w:t>
      </w:r>
      <w:r w:rsidR="000F4463" w:rsidRPr="00D77C91">
        <w:rPr>
          <w:rFonts w:ascii="Arial" w:hAnsi="Arial" w:cs="Arial"/>
          <w:sz w:val="20"/>
          <w:szCs w:val="20"/>
        </w:rPr>
        <w:t xml:space="preserve"> (Policy Support Component)</w:t>
      </w:r>
      <w:r w:rsidRPr="00D77C91">
        <w:rPr>
          <w:rFonts w:ascii="Arial" w:hAnsi="Arial" w:cs="Arial"/>
          <w:sz w:val="20"/>
          <w:szCs w:val="20"/>
        </w:rPr>
        <w:t xml:space="preserve">, A CN developed within the framework of ARAIBA this ASEAN Circular Economy Business Alliance (ACEBA). </w:t>
      </w:r>
    </w:p>
    <w:p w14:paraId="7202A2C8" w14:textId="77777777" w:rsidR="00B84C90"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ACEBA is designed to provide visibility for and give a voice to its participating businesses and thereby catalyse further Circular Economy business initiatives in the region. ACEBA will support its participating businesses to implement Circular Economy solutions by facilitating the development, sharing and application of good practices, innovative techniques and appropriate operational tools and guidance.</w:t>
      </w:r>
    </w:p>
    <w:p w14:paraId="07875884" w14:textId="0DB19DE2" w:rsidR="00BB1DA9" w:rsidRPr="00D77C91" w:rsidRDefault="00BB1DA9" w:rsidP="00D77C91">
      <w:pPr>
        <w:spacing w:line="276" w:lineRule="auto"/>
        <w:jc w:val="both"/>
        <w:rPr>
          <w:rFonts w:ascii="Arial" w:hAnsi="Arial" w:cs="Arial"/>
          <w:b/>
          <w:bCs/>
          <w:sz w:val="20"/>
          <w:szCs w:val="20"/>
        </w:rPr>
      </w:pPr>
      <w:r w:rsidRPr="00D77C91">
        <w:rPr>
          <w:rFonts w:ascii="Arial" w:hAnsi="Arial" w:cs="Arial"/>
          <w:b/>
          <w:bCs/>
          <w:sz w:val="20"/>
          <w:szCs w:val="20"/>
        </w:rPr>
        <w:t>Circular Economy</w:t>
      </w:r>
    </w:p>
    <w:p w14:paraId="6E5B72FA" w14:textId="773F8644" w:rsidR="00BB1DA9" w:rsidRPr="00D77C91" w:rsidRDefault="000F61CA" w:rsidP="00D77C91">
      <w:pPr>
        <w:spacing w:line="276" w:lineRule="auto"/>
        <w:jc w:val="both"/>
        <w:rPr>
          <w:rFonts w:ascii="Arial" w:hAnsi="Arial" w:cs="Arial"/>
          <w:sz w:val="20"/>
          <w:szCs w:val="20"/>
        </w:rPr>
      </w:pPr>
      <w:r w:rsidRPr="00D77C91">
        <w:rPr>
          <w:rFonts w:ascii="Arial" w:hAnsi="Arial" w:cs="Arial"/>
          <w:sz w:val="20"/>
          <w:szCs w:val="20"/>
        </w:rPr>
        <w:t xml:space="preserve">The </w:t>
      </w:r>
      <w:r w:rsidR="00BB1DA9" w:rsidRPr="00D77C91">
        <w:rPr>
          <w:rFonts w:ascii="Arial" w:hAnsi="Arial" w:cs="Arial"/>
          <w:sz w:val="20"/>
          <w:szCs w:val="20"/>
        </w:rPr>
        <w:t xml:space="preserve">Circular Economy aspires to transition from a linear </w:t>
      </w:r>
      <w:r w:rsidR="00BB1DA9" w:rsidRPr="00D77C91">
        <w:rPr>
          <w:rFonts w:ascii="Arial" w:hAnsi="Arial" w:cs="Arial"/>
          <w:i/>
          <w:iCs/>
          <w:sz w:val="20"/>
          <w:szCs w:val="20"/>
        </w:rPr>
        <w:t xml:space="preserve">take-make-use-throw </w:t>
      </w:r>
      <w:r w:rsidR="00BB1DA9" w:rsidRPr="00D77C91">
        <w:rPr>
          <w:rFonts w:ascii="Arial" w:hAnsi="Arial" w:cs="Arial"/>
          <w:sz w:val="20"/>
          <w:szCs w:val="20"/>
        </w:rPr>
        <w:t xml:space="preserve">production and consumption model to a circular, closed and efficient, </w:t>
      </w:r>
      <w:r w:rsidR="00BB1DA9" w:rsidRPr="00D77C91">
        <w:rPr>
          <w:rFonts w:ascii="Arial" w:hAnsi="Arial" w:cs="Arial"/>
          <w:i/>
          <w:iCs/>
          <w:sz w:val="20"/>
          <w:szCs w:val="20"/>
        </w:rPr>
        <w:t>take-make-use-recover</w:t>
      </w:r>
      <w:r w:rsidR="006F01AE" w:rsidRPr="00D77C91">
        <w:rPr>
          <w:rFonts w:ascii="Arial" w:hAnsi="Arial" w:cs="Arial"/>
          <w:i/>
          <w:iCs/>
          <w:sz w:val="20"/>
          <w:szCs w:val="20"/>
        </w:rPr>
        <w:t xml:space="preserve"> and repeat</w:t>
      </w:r>
      <w:r w:rsidR="00BB1DA9" w:rsidRPr="00D77C91">
        <w:rPr>
          <w:rFonts w:ascii="Arial" w:hAnsi="Arial" w:cs="Arial"/>
          <w:sz w:val="20"/>
          <w:szCs w:val="20"/>
        </w:rPr>
        <w:t xml:space="preserve"> model which requires a comprehensive transformation of production and consumption systems, including, but not limited to, advances in waste recycling and management. </w:t>
      </w:r>
    </w:p>
    <w:p w14:paraId="4556D569" w14:textId="23663812" w:rsidR="00BB1DA9" w:rsidRPr="00D77C91" w:rsidRDefault="00BB1DA9" w:rsidP="00D77C91">
      <w:pPr>
        <w:spacing w:after="0" w:line="276" w:lineRule="auto"/>
        <w:jc w:val="both"/>
        <w:rPr>
          <w:rFonts w:ascii="Arial" w:hAnsi="Arial" w:cs="Arial"/>
          <w:sz w:val="20"/>
          <w:szCs w:val="20"/>
        </w:rPr>
      </w:pPr>
      <w:r w:rsidRPr="00D77C91">
        <w:rPr>
          <w:rFonts w:ascii="Arial" w:hAnsi="Arial" w:cs="Arial"/>
          <w:sz w:val="20"/>
          <w:szCs w:val="20"/>
        </w:rPr>
        <w:t>The ASEAN Circular Economy Business Alliance (ACEBA) therefore approaches the Circular Economy as a responsible business development</w:t>
      </w:r>
      <w:r w:rsidR="006F01AE" w:rsidRPr="00D77C91">
        <w:rPr>
          <w:rFonts w:ascii="Arial" w:hAnsi="Arial" w:cs="Arial"/>
          <w:sz w:val="20"/>
          <w:szCs w:val="20"/>
        </w:rPr>
        <w:t xml:space="preserve"> and</w:t>
      </w:r>
      <w:r w:rsidRPr="00D77C91">
        <w:rPr>
          <w:rFonts w:ascii="Arial" w:hAnsi="Arial" w:cs="Arial"/>
          <w:sz w:val="20"/>
          <w:szCs w:val="20"/>
        </w:rPr>
        <w:t xml:space="preserve"> </w:t>
      </w:r>
      <w:r w:rsidR="006F01AE" w:rsidRPr="00D77C91">
        <w:rPr>
          <w:rFonts w:ascii="Arial" w:hAnsi="Arial" w:cs="Arial"/>
          <w:sz w:val="20"/>
          <w:szCs w:val="20"/>
        </w:rPr>
        <w:t xml:space="preserve">innovation </w:t>
      </w:r>
      <w:r w:rsidRPr="00D77C91">
        <w:rPr>
          <w:rFonts w:ascii="Arial" w:hAnsi="Arial" w:cs="Arial"/>
          <w:sz w:val="20"/>
          <w:szCs w:val="20"/>
        </w:rPr>
        <w:t>strategy, guided by the following principles:</w:t>
      </w:r>
    </w:p>
    <w:p w14:paraId="2F45E8E6" w14:textId="77777777" w:rsidR="00BB1DA9" w:rsidRPr="00D77C91" w:rsidRDefault="00BB1DA9" w:rsidP="00D77C91">
      <w:pPr>
        <w:pStyle w:val="ListParagraph"/>
        <w:numPr>
          <w:ilvl w:val="0"/>
          <w:numId w:val="22"/>
        </w:numPr>
        <w:spacing w:line="276" w:lineRule="auto"/>
        <w:jc w:val="both"/>
        <w:rPr>
          <w:rFonts w:ascii="Arial" w:hAnsi="Arial" w:cs="Arial"/>
          <w:sz w:val="20"/>
          <w:szCs w:val="20"/>
        </w:rPr>
      </w:pPr>
      <w:r w:rsidRPr="00D77C91">
        <w:rPr>
          <w:rFonts w:ascii="Arial" w:hAnsi="Arial" w:cs="Arial"/>
          <w:sz w:val="20"/>
          <w:szCs w:val="20"/>
        </w:rPr>
        <w:t xml:space="preserve">NET ZERO FOR CLIMATE, NATURE AND ENVIRONMENT </w:t>
      </w:r>
      <w:r w:rsidRPr="00D77C91">
        <w:rPr>
          <w:rFonts w:ascii="Arial" w:hAnsi="Arial" w:cs="Arial"/>
          <w:i/>
          <w:iCs/>
          <w:sz w:val="20"/>
          <w:szCs w:val="20"/>
        </w:rPr>
        <w:t>(purpose)</w:t>
      </w:r>
      <w:r w:rsidRPr="00D77C91">
        <w:rPr>
          <w:rFonts w:ascii="Arial" w:hAnsi="Arial" w:cs="Arial"/>
          <w:sz w:val="20"/>
          <w:szCs w:val="20"/>
        </w:rPr>
        <w:t>: Circular Economy focusses on contributing to achieving ‘</w:t>
      </w:r>
      <w:r w:rsidRPr="00D77C91">
        <w:rPr>
          <w:rFonts w:ascii="Arial" w:hAnsi="Arial" w:cs="Arial"/>
          <w:i/>
          <w:iCs/>
          <w:sz w:val="20"/>
          <w:szCs w:val="20"/>
        </w:rPr>
        <w:t xml:space="preserve">net zero’ </w:t>
      </w:r>
      <w:r w:rsidRPr="00D77C91">
        <w:rPr>
          <w:rFonts w:ascii="Arial" w:hAnsi="Arial" w:cs="Arial"/>
          <w:sz w:val="20"/>
          <w:szCs w:val="20"/>
        </w:rPr>
        <w:t>planetary impacts by ending the unsustainable use of natural resources as the common root cause of climate change, loss of nature and biodiversity, and accumulation of pollutants and waste, which together constitute the triple planetary crises;</w:t>
      </w:r>
    </w:p>
    <w:p w14:paraId="28048B89" w14:textId="77777777" w:rsidR="00BB1DA9" w:rsidRPr="00D77C91" w:rsidRDefault="00BB1DA9" w:rsidP="00D77C91">
      <w:pPr>
        <w:pStyle w:val="ListParagraph"/>
        <w:numPr>
          <w:ilvl w:val="0"/>
          <w:numId w:val="22"/>
        </w:numPr>
        <w:spacing w:line="276" w:lineRule="auto"/>
        <w:jc w:val="both"/>
        <w:rPr>
          <w:rFonts w:ascii="Arial" w:hAnsi="Arial" w:cs="Arial"/>
          <w:sz w:val="20"/>
          <w:szCs w:val="20"/>
        </w:rPr>
      </w:pPr>
      <w:r w:rsidRPr="00D77C91">
        <w:rPr>
          <w:rFonts w:ascii="Arial" w:hAnsi="Arial" w:cs="Arial"/>
          <w:sz w:val="20"/>
          <w:szCs w:val="20"/>
        </w:rPr>
        <w:t xml:space="preserve">RESOURCE CIRCULARTIY, EFFICIENCY AND SUBSTITUTION </w:t>
      </w:r>
      <w:r w:rsidRPr="00D77C91">
        <w:rPr>
          <w:rFonts w:ascii="Arial" w:hAnsi="Arial" w:cs="Arial"/>
          <w:i/>
          <w:iCs/>
          <w:sz w:val="20"/>
          <w:szCs w:val="20"/>
        </w:rPr>
        <w:t>(scope)</w:t>
      </w:r>
      <w:r w:rsidRPr="00D77C91">
        <w:rPr>
          <w:rFonts w:ascii="Arial" w:hAnsi="Arial" w:cs="Arial"/>
          <w:sz w:val="20"/>
          <w:szCs w:val="20"/>
        </w:rPr>
        <w:t>: Circular Economy closes natural resource use loops by designing in resource circularity, resource efficiency and resource substitution;</w:t>
      </w:r>
    </w:p>
    <w:p w14:paraId="5169C14A" w14:textId="77777777" w:rsidR="00BB1DA9" w:rsidRPr="00D77C91" w:rsidRDefault="00BB1DA9" w:rsidP="00D77C91">
      <w:pPr>
        <w:pStyle w:val="ListParagraph"/>
        <w:numPr>
          <w:ilvl w:val="0"/>
          <w:numId w:val="22"/>
        </w:numPr>
        <w:spacing w:line="276" w:lineRule="auto"/>
        <w:jc w:val="both"/>
        <w:rPr>
          <w:rFonts w:ascii="Arial" w:hAnsi="Arial" w:cs="Arial"/>
          <w:sz w:val="20"/>
          <w:szCs w:val="20"/>
        </w:rPr>
      </w:pPr>
      <w:r w:rsidRPr="00D77C91">
        <w:rPr>
          <w:rFonts w:ascii="Arial" w:hAnsi="Arial" w:cs="Arial"/>
          <w:sz w:val="20"/>
          <w:szCs w:val="20"/>
        </w:rPr>
        <w:t xml:space="preserve">RESPONSIBLE BUSINESS </w:t>
      </w:r>
      <w:r w:rsidRPr="00D77C91">
        <w:rPr>
          <w:rFonts w:ascii="Arial" w:hAnsi="Arial" w:cs="Arial"/>
          <w:i/>
          <w:iCs/>
          <w:sz w:val="20"/>
          <w:szCs w:val="20"/>
        </w:rPr>
        <w:t>(rationale)</w:t>
      </w:r>
      <w:r w:rsidRPr="00D77C91">
        <w:rPr>
          <w:rFonts w:ascii="Arial" w:hAnsi="Arial" w:cs="Arial"/>
          <w:sz w:val="20"/>
          <w:szCs w:val="20"/>
        </w:rPr>
        <w:t>: Circular Economy involves business taking responsibility for the impacts on environment and society of the materials and other resources that are required throughout the lifecycle of its products and services;</w:t>
      </w:r>
    </w:p>
    <w:p w14:paraId="61290866" w14:textId="77777777" w:rsidR="00BB1DA9" w:rsidRPr="00D77C91" w:rsidRDefault="00BB1DA9" w:rsidP="00D77C91">
      <w:pPr>
        <w:pStyle w:val="ListParagraph"/>
        <w:numPr>
          <w:ilvl w:val="0"/>
          <w:numId w:val="22"/>
        </w:numPr>
        <w:spacing w:line="276" w:lineRule="auto"/>
        <w:jc w:val="both"/>
        <w:rPr>
          <w:rFonts w:ascii="Arial" w:hAnsi="Arial" w:cs="Arial"/>
          <w:sz w:val="20"/>
          <w:szCs w:val="20"/>
        </w:rPr>
      </w:pPr>
      <w:r w:rsidRPr="00D77C91">
        <w:rPr>
          <w:rFonts w:ascii="Arial" w:hAnsi="Arial" w:cs="Arial"/>
          <w:sz w:val="20"/>
          <w:szCs w:val="20"/>
        </w:rPr>
        <w:t xml:space="preserve">IDEATION AND CO-CREATION </w:t>
      </w:r>
      <w:r w:rsidRPr="00D77C91">
        <w:rPr>
          <w:rFonts w:ascii="Arial" w:hAnsi="Arial" w:cs="Arial"/>
          <w:i/>
          <w:iCs/>
          <w:sz w:val="20"/>
          <w:szCs w:val="20"/>
        </w:rPr>
        <w:t>(means)</w:t>
      </w:r>
      <w:r w:rsidRPr="00D77C91">
        <w:rPr>
          <w:rFonts w:ascii="Arial" w:hAnsi="Arial" w:cs="Arial"/>
          <w:sz w:val="20"/>
          <w:szCs w:val="20"/>
        </w:rPr>
        <w:t>: Circular Economy deploys ideation and co-creation by business and its value chains to develop and commercialize circular product and service solutions; and</w:t>
      </w:r>
    </w:p>
    <w:p w14:paraId="7E342D0F" w14:textId="77777777" w:rsidR="00BB1DA9" w:rsidRPr="00D77C91" w:rsidRDefault="00BB1DA9" w:rsidP="00D77C91">
      <w:pPr>
        <w:pStyle w:val="ListParagraph"/>
        <w:numPr>
          <w:ilvl w:val="0"/>
          <w:numId w:val="22"/>
        </w:numPr>
        <w:spacing w:line="276" w:lineRule="auto"/>
        <w:jc w:val="both"/>
        <w:rPr>
          <w:rFonts w:ascii="Arial" w:hAnsi="Arial" w:cs="Arial"/>
          <w:sz w:val="20"/>
          <w:szCs w:val="20"/>
        </w:rPr>
      </w:pPr>
      <w:r w:rsidRPr="00D77C91">
        <w:rPr>
          <w:rFonts w:ascii="Arial" w:hAnsi="Arial" w:cs="Arial"/>
          <w:sz w:val="20"/>
          <w:szCs w:val="20"/>
        </w:rPr>
        <w:t xml:space="preserve">NET BENEFITS </w:t>
      </w:r>
      <w:r w:rsidRPr="00D77C91">
        <w:rPr>
          <w:rFonts w:ascii="Arial" w:hAnsi="Arial" w:cs="Arial"/>
          <w:i/>
          <w:iCs/>
          <w:sz w:val="20"/>
          <w:szCs w:val="20"/>
        </w:rPr>
        <w:t>(development impact)</w:t>
      </w:r>
      <w:r w:rsidRPr="00D77C91">
        <w:rPr>
          <w:rFonts w:ascii="Arial" w:hAnsi="Arial" w:cs="Arial"/>
          <w:sz w:val="20"/>
          <w:szCs w:val="20"/>
        </w:rPr>
        <w:t>: Circular Economy de-risks the economy and society from the impacts and risks of their unsustainable use of natural resources to contribute to net social and economic benefits.</w:t>
      </w:r>
    </w:p>
    <w:p w14:paraId="32B189E4" w14:textId="77777777" w:rsidR="00BB1DA9" w:rsidRPr="00D77C91" w:rsidRDefault="00BB1DA9" w:rsidP="00D77C91">
      <w:pPr>
        <w:spacing w:line="276" w:lineRule="auto"/>
        <w:jc w:val="both"/>
        <w:rPr>
          <w:rFonts w:ascii="Arial" w:hAnsi="Arial" w:cs="Arial"/>
          <w:sz w:val="20"/>
          <w:szCs w:val="20"/>
        </w:rPr>
      </w:pPr>
      <w:r w:rsidRPr="00D77C91">
        <w:rPr>
          <w:rFonts w:ascii="Arial" w:hAnsi="Arial" w:cs="Arial"/>
          <w:sz w:val="20"/>
          <w:szCs w:val="20"/>
        </w:rPr>
        <w:t xml:space="preserve">Circular Economy is pertinent across all economic sectors, however, within the ASEAN Member States, Circular Economy may particularly be promoted to the food and beverage, textile and garments, leather and footwear, furniture and homewares, electric and electronic, automotive, tourism and construction sectors. </w:t>
      </w:r>
    </w:p>
    <w:p w14:paraId="6003C9F7" w14:textId="77777777" w:rsidR="00BB1DA9" w:rsidRPr="00D77C91" w:rsidRDefault="00BB1DA9" w:rsidP="00D77C91">
      <w:pPr>
        <w:spacing w:after="0" w:line="276" w:lineRule="auto"/>
        <w:jc w:val="both"/>
        <w:rPr>
          <w:rFonts w:ascii="Arial" w:hAnsi="Arial" w:cs="Arial"/>
          <w:b/>
          <w:bCs/>
          <w:sz w:val="20"/>
          <w:szCs w:val="20"/>
        </w:rPr>
      </w:pPr>
      <w:r w:rsidRPr="00D77C91">
        <w:rPr>
          <w:rFonts w:ascii="Arial" w:hAnsi="Arial" w:cs="Arial"/>
          <w:b/>
          <w:bCs/>
          <w:sz w:val="20"/>
          <w:szCs w:val="20"/>
        </w:rPr>
        <w:t>Participants Lead by Example</w:t>
      </w:r>
    </w:p>
    <w:p w14:paraId="0C67F647" w14:textId="77777777" w:rsidR="00BB1DA9" w:rsidRPr="00D77C91" w:rsidRDefault="00BB1DA9" w:rsidP="00D77C91">
      <w:pPr>
        <w:spacing w:after="0" w:line="276" w:lineRule="auto"/>
        <w:jc w:val="both"/>
        <w:rPr>
          <w:rFonts w:ascii="Arial" w:hAnsi="Arial" w:cs="Arial"/>
          <w:sz w:val="20"/>
          <w:szCs w:val="20"/>
        </w:rPr>
      </w:pPr>
      <w:r w:rsidRPr="00D77C91">
        <w:rPr>
          <w:rFonts w:ascii="Arial" w:hAnsi="Arial" w:cs="Arial"/>
          <w:sz w:val="20"/>
          <w:szCs w:val="20"/>
        </w:rPr>
        <w:t>Participants in the ASEAN Circular Economy Business Alliance commit to lead by example through strategy and action in the ASEAN regional Circular Economy transition. Particularly, Participants will:</w:t>
      </w:r>
    </w:p>
    <w:p w14:paraId="0B5FCAB4" w14:textId="77777777" w:rsidR="00BB1DA9" w:rsidRPr="00D77C91" w:rsidRDefault="00BB1DA9" w:rsidP="00D77C91">
      <w:pPr>
        <w:pStyle w:val="ListParagraph"/>
        <w:numPr>
          <w:ilvl w:val="0"/>
          <w:numId w:val="23"/>
        </w:numPr>
        <w:spacing w:line="276" w:lineRule="auto"/>
        <w:jc w:val="both"/>
        <w:rPr>
          <w:rFonts w:ascii="Arial" w:hAnsi="Arial" w:cs="Arial"/>
          <w:sz w:val="20"/>
          <w:szCs w:val="20"/>
        </w:rPr>
      </w:pPr>
      <w:r w:rsidRPr="00D77C91">
        <w:rPr>
          <w:rFonts w:ascii="Arial" w:hAnsi="Arial" w:cs="Arial"/>
          <w:sz w:val="20"/>
          <w:szCs w:val="20"/>
        </w:rPr>
        <w:t>Actively promote and advance the Circular Economy transition in their business relations with buyers and suppliers, advocacy to government, community and other stakeholders and through information and knowledge sharing within the business and professional networks they are part of;</w:t>
      </w:r>
    </w:p>
    <w:p w14:paraId="74F004C0" w14:textId="77777777" w:rsidR="00BB1DA9" w:rsidRPr="00D77C91" w:rsidRDefault="00BB1DA9" w:rsidP="00D77C91">
      <w:pPr>
        <w:pStyle w:val="ListParagraph"/>
        <w:numPr>
          <w:ilvl w:val="0"/>
          <w:numId w:val="23"/>
        </w:numPr>
        <w:spacing w:line="276" w:lineRule="auto"/>
        <w:jc w:val="both"/>
        <w:rPr>
          <w:rFonts w:ascii="Arial" w:hAnsi="Arial" w:cs="Arial"/>
          <w:sz w:val="20"/>
          <w:szCs w:val="20"/>
        </w:rPr>
      </w:pPr>
      <w:r w:rsidRPr="00D77C91">
        <w:rPr>
          <w:rFonts w:ascii="Arial" w:hAnsi="Arial" w:cs="Arial"/>
          <w:sz w:val="20"/>
          <w:szCs w:val="20"/>
        </w:rPr>
        <w:t xml:space="preserve">Take proactive steps to develop and implement circular solutions in their current and potential future products, services, processes, operations and other business activities; </w:t>
      </w:r>
    </w:p>
    <w:p w14:paraId="36F31DC8" w14:textId="77777777" w:rsidR="00BB1DA9" w:rsidRPr="00D77C91" w:rsidRDefault="00BB1DA9" w:rsidP="00D77C91">
      <w:pPr>
        <w:pStyle w:val="ListParagraph"/>
        <w:numPr>
          <w:ilvl w:val="0"/>
          <w:numId w:val="23"/>
        </w:numPr>
        <w:spacing w:line="276" w:lineRule="auto"/>
        <w:jc w:val="both"/>
        <w:rPr>
          <w:rFonts w:ascii="Arial" w:hAnsi="Arial" w:cs="Arial"/>
          <w:sz w:val="20"/>
          <w:szCs w:val="20"/>
        </w:rPr>
      </w:pPr>
      <w:r w:rsidRPr="00D77C91">
        <w:rPr>
          <w:rFonts w:ascii="Arial" w:hAnsi="Arial" w:cs="Arial"/>
          <w:sz w:val="20"/>
          <w:szCs w:val="20"/>
        </w:rPr>
        <w:t xml:space="preserve">Communicate on activities and impacts of their Circular Economy initiatives, including relevant business policy, targets, plans and company specific and relevant key indicators for the levels of resource circularity, resource efficiency and resource substitution achieved; and </w:t>
      </w:r>
    </w:p>
    <w:p w14:paraId="28A25CA2" w14:textId="696EDCC6" w:rsidR="00D6155F" w:rsidRPr="00D77C91" w:rsidRDefault="00BB1DA9" w:rsidP="00D77C91">
      <w:pPr>
        <w:pStyle w:val="ListParagraph"/>
        <w:numPr>
          <w:ilvl w:val="0"/>
          <w:numId w:val="23"/>
        </w:numPr>
        <w:spacing w:line="276" w:lineRule="auto"/>
        <w:jc w:val="both"/>
        <w:rPr>
          <w:rFonts w:ascii="Arial" w:hAnsi="Arial" w:cs="Arial"/>
          <w:sz w:val="20"/>
          <w:szCs w:val="20"/>
        </w:rPr>
      </w:pPr>
      <w:r w:rsidRPr="00D77C91">
        <w:rPr>
          <w:rFonts w:ascii="Arial" w:hAnsi="Arial" w:cs="Arial"/>
          <w:sz w:val="20"/>
          <w:szCs w:val="20"/>
        </w:rPr>
        <w:t xml:space="preserve">Contribute, where appropriate, to the activities under the ACEBA, such as development and promotion of operational guidelines, toolbox, case studies or other knowledge products. </w:t>
      </w:r>
    </w:p>
    <w:p w14:paraId="61C4CB40" w14:textId="77777777" w:rsidR="00D6155F" w:rsidRPr="00D77C91" w:rsidRDefault="00D6155F" w:rsidP="00D77C91">
      <w:pPr>
        <w:spacing w:line="276" w:lineRule="auto"/>
        <w:rPr>
          <w:rFonts w:ascii="Arial" w:hAnsi="Arial" w:cs="Arial"/>
          <w:sz w:val="20"/>
          <w:szCs w:val="20"/>
        </w:rPr>
      </w:pPr>
    </w:p>
    <w:p w14:paraId="0A58C0BF" w14:textId="77777777" w:rsidR="00D6155F" w:rsidRPr="00D77C91" w:rsidRDefault="00D6155F" w:rsidP="00D77C91">
      <w:pPr>
        <w:spacing w:line="276" w:lineRule="auto"/>
        <w:rPr>
          <w:rFonts w:ascii="Arial" w:hAnsi="Arial" w:cs="Arial"/>
          <w:sz w:val="20"/>
          <w:szCs w:val="20"/>
        </w:rPr>
      </w:pPr>
    </w:p>
    <w:p w14:paraId="7F898870" w14:textId="77777777" w:rsidR="00D6155F" w:rsidRPr="00D77C91" w:rsidRDefault="00D6155F" w:rsidP="00D77C91">
      <w:pPr>
        <w:spacing w:line="276" w:lineRule="auto"/>
        <w:rPr>
          <w:rFonts w:ascii="Arial" w:hAnsi="Arial" w:cs="Arial"/>
          <w:sz w:val="20"/>
          <w:szCs w:val="20"/>
        </w:rPr>
      </w:pPr>
    </w:p>
    <w:sectPr w:rsidR="00D6155F" w:rsidRPr="00D77C91" w:rsidSect="00D77C91">
      <w:headerReference w:type="default" r:id="rId8"/>
      <w:footerReference w:type="default" r:id="rId9"/>
      <w:pgSz w:w="11906" w:h="16838"/>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EA1E5" w14:textId="77777777" w:rsidR="00B05BF3" w:rsidRDefault="00B05BF3" w:rsidP="00557DBF">
      <w:pPr>
        <w:spacing w:after="0" w:line="240" w:lineRule="auto"/>
      </w:pPr>
      <w:r>
        <w:separator/>
      </w:r>
    </w:p>
  </w:endnote>
  <w:endnote w:type="continuationSeparator" w:id="0">
    <w:p w14:paraId="0F232CA7" w14:textId="77777777" w:rsidR="00B05BF3" w:rsidRDefault="00B05BF3" w:rsidP="0055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53308" w14:textId="77777777" w:rsidR="00D77C91" w:rsidRDefault="00D77C91" w:rsidP="00F629F7">
    <w:pPr>
      <w:pStyle w:val="Footer"/>
      <w:pBdr>
        <w:top w:val="single" w:sz="4" w:space="1" w:color="auto"/>
      </w:pBdr>
      <w:spacing w:before="400"/>
      <w:jc w:val="center"/>
      <w:rPr>
        <w:rFonts w:ascii="Arial" w:hAnsi="Arial" w:cs="Arial"/>
      </w:rPr>
    </w:pPr>
  </w:p>
  <w:p w14:paraId="16832FDF" w14:textId="78CAD9DF" w:rsidR="00D77C91" w:rsidRPr="00F629F7" w:rsidRDefault="00D77C91" w:rsidP="00F629F7">
    <w:pPr>
      <w:pStyle w:val="Footer"/>
      <w:pBdr>
        <w:top w:val="single" w:sz="4" w:space="1" w:color="auto"/>
      </w:pBdr>
      <w:spacing w:after="100"/>
      <w:jc w:val="center"/>
      <w:rPr>
        <w:rFonts w:ascii="Arial" w:hAnsi="Arial" w:cs="Arial"/>
        <w:sz w:val="20"/>
        <w:szCs w:val="20"/>
      </w:rPr>
    </w:pPr>
    <w:r w:rsidRPr="00F629F7">
      <w:rPr>
        <w:rFonts w:ascii="Arial" w:hAnsi="Arial" w:cs="Arial"/>
        <w:sz w:val="20"/>
        <w:szCs w:val="20"/>
      </w:rPr>
      <w:t xml:space="preserve">ACEBA is an initiative of </w:t>
    </w:r>
  </w:p>
  <w:p w14:paraId="61D3B178" w14:textId="4C94878C" w:rsidR="00F629F7" w:rsidRPr="00D77C91" w:rsidRDefault="00F629F7" w:rsidP="00D77C91">
    <w:pPr>
      <w:pStyle w:val="Footer"/>
      <w:pBdr>
        <w:top w:val="single" w:sz="4" w:space="1" w:color="auto"/>
      </w:pBdr>
      <w:jc w:val="center"/>
      <w:rPr>
        <w:rFonts w:ascii="Arial" w:hAnsi="Arial" w:cs="Arial"/>
      </w:rPr>
    </w:pPr>
    <w:r>
      <w:rPr>
        <w:rFonts w:ascii="Arial" w:hAnsi="Arial" w:cs="Arial"/>
        <w:noProof/>
      </w:rPr>
      <w:drawing>
        <wp:inline distT="0" distB="0" distL="0" distR="0" wp14:anchorId="7920E4F1" wp14:editId="2E1CF8E5">
          <wp:extent cx="1440000" cy="432032"/>
          <wp:effectExtent l="0" t="0" r="0" b="0"/>
          <wp:docPr id="2060354693" name="Picture 1" descr="A red sign with yellow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109653" name="Picture 1" descr="A red sign with yellow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40000" cy="432032"/>
                  </a:xfrm>
                  <a:prstGeom prst="rect">
                    <a:avLst/>
                  </a:prstGeom>
                </pic:spPr>
              </pic:pic>
            </a:graphicData>
          </a:graphic>
        </wp:inline>
      </w:drawing>
    </w:r>
  </w:p>
  <w:p w14:paraId="19F1A68F" w14:textId="1B745001" w:rsidR="00557DBF" w:rsidRPr="00D77C91" w:rsidRDefault="00557DBF" w:rsidP="00D77C91">
    <w:pPr>
      <w:pStyle w:val="Footer"/>
      <w:rPr>
        <w:rFonts w:ascii="Arial" w:hAnsi="Arial" w:cs="Arial"/>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2D615" w14:textId="77777777" w:rsidR="00B05BF3" w:rsidRDefault="00B05BF3" w:rsidP="00557DBF">
      <w:pPr>
        <w:spacing w:after="0" w:line="240" w:lineRule="auto"/>
      </w:pPr>
      <w:bookmarkStart w:id="0" w:name="_Hlk168050778"/>
      <w:bookmarkEnd w:id="0"/>
      <w:r>
        <w:separator/>
      </w:r>
    </w:p>
  </w:footnote>
  <w:footnote w:type="continuationSeparator" w:id="0">
    <w:p w14:paraId="192C276A" w14:textId="77777777" w:rsidR="00B05BF3" w:rsidRDefault="00B05BF3" w:rsidP="00557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C8F70" w14:textId="1AB3A536" w:rsidR="00557DBF" w:rsidRDefault="00D77C91" w:rsidP="00D77C91">
    <w:pPr>
      <w:pStyle w:val="Header"/>
      <w:pBdr>
        <w:bottom w:val="single" w:sz="6" w:space="1" w:color="auto"/>
      </w:pBdr>
      <w:jc w:val="center"/>
    </w:pPr>
    <w:r>
      <w:rPr>
        <w:noProof/>
      </w:rPr>
      <w:drawing>
        <wp:inline distT="0" distB="0" distL="0" distR="0" wp14:anchorId="5445EC1D" wp14:editId="3A6B2ED8">
          <wp:extent cx="1945724" cy="720000"/>
          <wp:effectExtent l="0" t="0" r="0" b="4445"/>
          <wp:docPr id="1362369128" name="Picture 1" descr="A blue and re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369128" name="Picture 1" descr="A blue and red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45724" cy="720000"/>
                  </a:xfrm>
                  <a:prstGeom prst="rect">
                    <a:avLst/>
                  </a:prstGeom>
                </pic:spPr>
              </pic:pic>
            </a:graphicData>
          </a:graphic>
        </wp:inline>
      </w:drawing>
    </w:r>
  </w:p>
  <w:p w14:paraId="3543CFEC" w14:textId="77777777" w:rsidR="002E3C3D" w:rsidRDefault="002E3C3D">
    <w:pPr>
      <w:pStyle w:val="Header"/>
      <w:pBdr>
        <w:bottom w:val="single" w:sz="6" w:space="1" w:color="auto"/>
      </w:pBdr>
    </w:pPr>
  </w:p>
  <w:p w14:paraId="298E7891" w14:textId="46EF6BD2" w:rsidR="00557DBF" w:rsidRDefault="00557D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A70F50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E4906"/>
    <w:multiLevelType w:val="hybridMultilevel"/>
    <w:tmpl w:val="3D509C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8C253D"/>
    <w:multiLevelType w:val="hybridMultilevel"/>
    <w:tmpl w:val="BA0033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9DE49E5"/>
    <w:multiLevelType w:val="hybridMultilevel"/>
    <w:tmpl w:val="499A24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B125271"/>
    <w:multiLevelType w:val="hybridMultilevel"/>
    <w:tmpl w:val="FF9A5E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0FC76BB8"/>
    <w:multiLevelType w:val="hybridMultilevel"/>
    <w:tmpl w:val="9DB263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540D1"/>
    <w:multiLevelType w:val="hybridMultilevel"/>
    <w:tmpl w:val="2F123CA2"/>
    <w:lvl w:ilvl="0" w:tplc="08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C121734"/>
    <w:multiLevelType w:val="hybridMultilevel"/>
    <w:tmpl w:val="BA3AD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7D6BBA"/>
    <w:multiLevelType w:val="hybridMultilevel"/>
    <w:tmpl w:val="2F72815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357340"/>
    <w:multiLevelType w:val="hybridMultilevel"/>
    <w:tmpl w:val="26921C8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3812483B"/>
    <w:multiLevelType w:val="hybridMultilevel"/>
    <w:tmpl w:val="0484BB3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3A382C28"/>
    <w:multiLevelType w:val="hybridMultilevel"/>
    <w:tmpl w:val="626A0EB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3DE00544"/>
    <w:multiLevelType w:val="hybridMultilevel"/>
    <w:tmpl w:val="D70A5DB4"/>
    <w:lvl w:ilvl="0" w:tplc="D87A7E2C">
      <w:start w:val="4"/>
      <w:numFmt w:val="bullet"/>
      <w:lvlText w:val="-"/>
      <w:lvlJc w:val="left"/>
      <w:pPr>
        <w:ind w:left="1080" w:hanging="360"/>
      </w:pPr>
      <w:rPr>
        <w:rFonts w:ascii="Calibri" w:eastAsiaTheme="minorEastAsia" w:hAnsi="Calibri" w:cs="Calibri"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3" w15:restartNumberingAfterBreak="0">
    <w:nsid w:val="3EBA1D07"/>
    <w:multiLevelType w:val="hybridMultilevel"/>
    <w:tmpl w:val="9DB263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8187C8A"/>
    <w:multiLevelType w:val="hybridMultilevel"/>
    <w:tmpl w:val="046633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E6401D"/>
    <w:multiLevelType w:val="hybridMultilevel"/>
    <w:tmpl w:val="CE367088"/>
    <w:lvl w:ilvl="0" w:tplc="7FB6EAF8">
      <w:start w:val="1"/>
      <w:numFmt w:val="bullet"/>
      <w:lvlText w:val="•"/>
      <w:lvlJc w:val="left"/>
      <w:pPr>
        <w:tabs>
          <w:tab w:val="num" w:pos="720"/>
        </w:tabs>
        <w:ind w:left="720" w:hanging="360"/>
      </w:pPr>
      <w:rPr>
        <w:rFonts w:ascii="Arial" w:hAnsi="Arial" w:hint="default"/>
      </w:rPr>
    </w:lvl>
    <w:lvl w:ilvl="1" w:tplc="EFFE9016" w:tentative="1">
      <w:start w:val="1"/>
      <w:numFmt w:val="bullet"/>
      <w:lvlText w:val="•"/>
      <w:lvlJc w:val="left"/>
      <w:pPr>
        <w:tabs>
          <w:tab w:val="num" w:pos="1440"/>
        </w:tabs>
        <w:ind w:left="1440" w:hanging="360"/>
      </w:pPr>
      <w:rPr>
        <w:rFonts w:ascii="Arial" w:hAnsi="Arial" w:hint="default"/>
      </w:rPr>
    </w:lvl>
    <w:lvl w:ilvl="2" w:tplc="024089BA" w:tentative="1">
      <w:start w:val="1"/>
      <w:numFmt w:val="bullet"/>
      <w:lvlText w:val="•"/>
      <w:lvlJc w:val="left"/>
      <w:pPr>
        <w:tabs>
          <w:tab w:val="num" w:pos="2160"/>
        </w:tabs>
        <w:ind w:left="2160" w:hanging="360"/>
      </w:pPr>
      <w:rPr>
        <w:rFonts w:ascii="Arial" w:hAnsi="Arial" w:hint="default"/>
      </w:rPr>
    </w:lvl>
    <w:lvl w:ilvl="3" w:tplc="2940C6E0" w:tentative="1">
      <w:start w:val="1"/>
      <w:numFmt w:val="bullet"/>
      <w:lvlText w:val="•"/>
      <w:lvlJc w:val="left"/>
      <w:pPr>
        <w:tabs>
          <w:tab w:val="num" w:pos="2880"/>
        </w:tabs>
        <w:ind w:left="2880" w:hanging="360"/>
      </w:pPr>
      <w:rPr>
        <w:rFonts w:ascii="Arial" w:hAnsi="Arial" w:hint="default"/>
      </w:rPr>
    </w:lvl>
    <w:lvl w:ilvl="4" w:tplc="1FBA94BC" w:tentative="1">
      <w:start w:val="1"/>
      <w:numFmt w:val="bullet"/>
      <w:lvlText w:val="•"/>
      <w:lvlJc w:val="left"/>
      <w:pPr>
        <w:tabs>
          <w:tab w:val="num" w:pos="3600"/>
        </w:tabs>
        <w:ind w:left="3600" w:hanging="360"/>
      </w:pPr>
      <w:rPr>
        <w:rFonts w:ascii="Arial" w:hAnsi="Arial" w:hint="default"/>
      </w:rPr>
    </w:lvl>
    <w:lvl w:ilvl="5" w:tplc="7AD0EE1C" w:tentative="1">
      <w:start w:val="1"/>
      <w:numFmt w:val="bullet"/>
      <w:lvlText w:val="•"/>
      <w:lvlJc w:val="left"/>
      <w:pPr>
        <w:tabs>
          <w:tab w:val="num" w:pos="4320"/>
        </w:tabs>
        <w:ind w:left="4320" w:hanging="360"/>
      </w:pPr>
      <w:rPr>
        <w:rFonts w:ascii="Arial" w:hAnsi="Arial" w:hint="default"/>
      </w:rPr>
    </w:lvl>
    <w:lvl w:ilvl="6" w:tplc="2E5613AE" w:tentative="1">
      <w:start w:val="1"/>
      <w:numFmt w:val="bullet"/>
      <w:lvlText w:val="•"/>
      <w:lvlJc w:val="left"/>
      <w:pPr>
        <w:tabs>
          <w:tab w:val="num" w:pos="5040"/>
        </w:tabs>
        <w:ind w:left="5040" w:hanging="360"/>
      </w:pPr>
      <w:rPr>
        <w:rFonts w:ascii="Arial" w:hAnsi="Arial" w:hint="default"/>
      </w:rPr>
    </w:lvl>
    <w:lvl w:ilvl="7" w:tplc="793C5DF0" w:tentative="1">
      <w:start w:val="1"/>
      <w:numFmt w:val="bullet"/>
      <w:lvlText w:val="•"/>
      <w:lvlJc w:val="left"/>
      <w:pPr>
        <w:tabs>
          <w:tab w:val="num" w:pos="5760"/>
        </w:tabs>
        <w:ind w:left="5760" w:hanging="360"/>
      </w:pPr>
      <w:rPr>
        <w:rFonts w:ascii="Arial" w:hAnsi="Arial" w:hint="default"/>
      </w:rPr>
    </w:lvl>
    <w:lvl w:ilvl="8" w:tplc="24A8A05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1881D21"/>
    <w:multiLevelType w:val="hybridMultilevel"/>
    <w:tmpl w:val="80CC8374"/>
    <w:lvl w:ilvl="0" w:tplc="9C72559A">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BB09C1"/>
    <w:multiLevelType w:val="hybridMultilevel"/>
    <w:tmpl w:val="E03630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6063448"/>
    <w:multiLevelType w:val="hybridMultilevel"/>
    <w:tmpl w:val="8178797E"/>
    <w:lvl w:ilvl="0" w:tplc="EDEABC96">
      <w:numFmt w:val="bullet"/>
      <w:lvlText w:val="-"/>
      <w:lvlJc w:val="left"/>
      <w:pPr>
        <w:ind w:left="1080" w:hanging="360"/>
      </w:pPr>
      <w:rPr>
        <w:rFonts w:ascii="Calibri" w:eastAsiaTheme="minorEastAsia" w:hAnsi="Calibri" w:cs="Calibri"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9" w15:restartNumberingAfterBreak="0">
    <w:nsid w:val="669778FD"/>
    <w:multiLevelType w:val="hybridMultilevel"/>
    <w:tmpl w:val="8EA28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A237FE6"/>
    <w:multiLevelType w:val="hybridMultilevel"/>
    <w:tmpl w:val="D9DC49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1743659"/>
    <w:multiLevelType w:val="hybridMultilevel"/>
    <w:tmpl w:val="833AD244"/>
    <w:lvl w:ilvl="0" w:tplc="03AE63A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2" w15:restartNumberingAfterBreak="0">
    <w:nsid w:val="78924C4C"/>
    <w:multiLevelType w:val="hybridMultilevel"/>
    <w:tmpl w:val="D700BB8A"/>
    <w:lvl w:ilvl="0" w:tplc="40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99379897">
    <w:abstractNumId w:val="19"/>
  </w:num>
  <w:num w:numId="2" w16cid:durableId="950472326">
    <w:abstractNumId w:val="22"/>
  </w:num>
  <w:num w:numId="3" w16cid:durableId="531765597">
    <w:abstractNumId w:val="13"/>
  </w:num>
  <w:num w:numId="4" w16cid:durableId="832330838">
    <w:abstractNumId w:val="3"/>
  </w:num>
  <w:num w:numId="5" w16cid:durableId="1137069486">
    <w:abstractNumId w:val="0"/>
  </w:num>
  <w:num w:numId="6" w16cid:durableId="764959154">
    <w:abstractNumId w:val="5"/>
  </w:num>
  <w:num w:numId="7" w16cid:durableId="1124077097">
    <w:abstractNumId w:val="20"/>
  </w:num>
  <w:num w:numId="8" w16cid:durableId="1770733361">
    <w:abstractNumId w:val="4"/>
  </w:num>
  <w:num w:numId="9" w16cid:durableId="66075364">
    <w:abstractNumId w:val="2"/>
  </w:num>
  <w:num w:numId="10" w16cid:durableId="1436289908">
    <w:abstractNumId w:val="1"/>
  </w:num>
  <w:num w:numId="11" w16cid:durableId="1718625433">
    <w:abstractNumId w:val="11"/>
  </w:num>
  <w:num w:numId="12" w16cid:durableId="1730493399">
    <w:abstractNumId w:val="15"/>
  </w:num>
  <w:num w:numId="13" w16cid:durableId="810709306">
    <w:abstractNumId w:val="10"/>
  </w:num>
  <w:num w:numId="14" w16cid:durableId="1172792404">
    <w:abstractNumId w:val="8"/>
  </w:num>
  <w:num w:numId="15" w16cid:durableId="190845723">
    <w:abstractNumId w:val="7"/>
  </w:num>
  <w:num w:numId="16" w16cid:durableId="1357579979">
    <w:abstractNumId w:val="16"/>
  </w:num>
  <w:num w:numId="17" w16cid:durableId="1720474276">
    <w:abstractNumId w:val="6"/>
  </w:num>
  <w:num w:numId="18" w16cid:durableId="1642612030">
    <w:abstractNumId w:val="9"/>
  </w:num>
  <w:num w:numId="19" w16cid:durableId="2083678240">
    <w:abstractNumId w:val="12"/>
  </w:num>
  <w:num w:numId="20" w16cid:durableId="376131311">
    <w:abstractNumId w:val="18"/>
  </w:num>
  <w:num w:numId="21" w16cid:durableId="717819957">
    <w:abstractNumId w:val="21"/>
  </w:num>
  <w:num w:numId="22" w16cid:durableId="658659783">
    <w:abstractNumId w:val="17"/>
  </w:num>
  <w:num w:numId="23" w16cid:durableId="11613107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DBF"/>
    <w:rsid w:val="00003AF5"/>
    <w:rsid w:val="00003E1A"/>
    <w:rsid w:val="00034DC5"/>
    <w:rsid w:val="000434E7"/>
    <w:rsid w:val="000677A1"/>
    <w:rsid w:val="00067F16"/>
    <w:rsid w:val="000E7DC0"/>
    <w:rsid w:val="000F4463"/>
    <w:rsid w:val="000F61CA"/>
    <w:rsid w:val="0010791C"/>
    <w:rsid w:val="0012451D"/>
    <w:rsid w:val="00142285"/>
    <w:rsid w:val="00144078"/>
    <w:rsid w:val="00150CAC"/>
    <w:rsid w:val="00180E64"/>
    <w:rsid w:val="001A6889"/>
    <w:rsid w:val="001C7488"/>
    <w:rsid w:val="001E5173"/>
    <w:rsid w:val="001F1F0E"/>
    <w:rsid w:val="001F380F"/>
    <w:rsid w:val="0021001E"/>
    <w:rsid w:val="00236E6C"/>
    <w:rsid w:val="00283017"/>
    <w:rsid w:val="002912BE"/>
    <w:rsid w:val="002C6F72"/>
    <w:rsid w:val="002C7625"/>
    <w:rsid w:val="002C769D"/>
    <w:rsid w:val="002E3C3D"/>
    <w:rsid w:val="00310D13"/>
    <w:rsid w:val="00340C91"/>
    <w:rsid w:val="0036607C"/>
    <w:rsid w:val="00390E5A"/>
    <w:rsid w:val="0039213E"/>
    <w:rsid w:val="003A4286"/>
    <w:rsid w:val="003A4B44"/>
    <w:rsid w:val="003C7C74"/>
    <w:rsid w:val="003E1446"/>
    <w:rsid w:val="0043118E"/>
    <w:rsid w:val="004409A3"/>
    <w:rsid w:val="0044289F"/>
    <w:rsid w:val="0045631A"/>
    <w:rsid w:val="00457051"/>
    <w:rsid w:val="00467DDC"/>
    <w:rsid w:val="00470980"/>
    <w:rsid w:val="004A54CE"/>
    <w:rsid w:val="004E096A"/>
    <w:rsid w:val="004E638A"/>
    <w:rsid w:val="004E6930"/>
    <w:rsid w:val="004F2FEF"/>
    <w:rsid w:val="004F6582"/>
    <w:rsid w:val="005019CD"/>
    <w:rsid w:val="005328A4"/>
    <w:rsid w:val="00533A78"/>
    <w:rsid w:val="0054449C"/>
    <w:rsid w:val="00552208"/>
    <w:rsid w:val="00557DBF"/>
    <w:rsid w:val="005608B1"/>
    <w:rsid w:val="005704FA"/>
    <w:rsid w:val="0059100E"/>
    <w:rsid w:val="0059751D"/>
    <w:rsid w:val="005976DD"/>
    <w:rsid w:val="005A20D1"/>
    <w:rsid w:val="005B5A6A"/>
    <w:rsid w:val="005C4DE1"/>
    <w:rsid w:val="005F1FC7"/>
    <w:rsid w:val="00632AD6"/>
    <w:rsid w:val="0063463F"/>
    <w:rsid w:val="00645441"/>
    <w:rsid w:val="0065773E"/>
    <w:rsid w:val="006703A1"/>
    <w:rsid w:val="00671DB3"/>
    <w:rsid w:val="00671EEA"/>
    <w:rsid w:val="00672C4D"/>
    <w:rsid w:val="00676A9A"/>
    <w:rsid w:val="00690072"/>
    <w:rsid w:val="00692F12"/>
    <w:rsid w:val="006976B6"/>
    <w:rsid w:val="006A5314"/>
    <w:rsid w:val="006A7F51"/>
    <w:rsid w:val="006C1ADD"/>
    <w:rsid w:val="006C445C"/>
    <w:rsid w:val="006D3493"/>
    <w:rsid w:val="006E1011"/>
    <w:rsid w:val="006F01AE"/>
    <w:rsid w:val="0072354D"/>
    <w:rsid w:val="007278EF"/>
    <w:rsid w:val="00727AF0"/>
    <w:rsid w:val="007527E6"/>
    <w:rsid w:val="0075739E"/>
    <w:rsid w:val="00772122"/>
    <w:rsid w:val="00783740"/>
    <w:rsid w:val="007B64C4"/>
    <w:rsid w:val="007C116C"/>
    <w:rsid w:val="007C3345"/>
    <w:rsid w:val="007F3F3F"/>
    <w:rsid w:val="007F4C4A"/>
    <w:rsid w:val="00843AAC"/>
    <w:rsid w:val="0085030F"/>
    <w:rsid w:val="00856851"/>
    <w:rsid w:val="00881920"/>
    <w:rsid w:val="0088585E"/>
    <w:rsid w:val="008D3810"/>
    <w:rsid w:val="008F2EF8"/>
    <w:rsid w:val="0090753A"/>
    <w:rsid w:val="009458D9"/>
    <w:rsid w:val="00952C79"/>
    <w:rsid w:val="00960AD5"/>
    <w:rsid w:val="0097575F"/>
    <w:rsid w:val="00983FED"/>
    <w:rsid w:val="00991D8C"/>
    <w:rsid w:val="009A68DA"/>
    <w:rsid w:val="009A6E71"/>
    <w:rsid w:val="009A76DD"/>
    <w:rsid w:val="009C1C6E"/>
    <w:rsid w:val="009E48E7"/>
    <w:rsid w:val="009F42FF"/>
    <w:rsid w:val="00A14711"/>
    <w:rsid w:val="00A36C6D"/>
    <w:rsid w:val="00A508E9"/>
    <w:rsid w:val="00A63735"/>
    <w:rsid w:val="00A64CF3"/>
    <w:rsid w:val="00A707AA"/>
    <w:rsid w:val="00A912A3"/>
    <w:rsid w:val="00AB114C"/>
    <w:rsid w:val="00AC58EE"/>
    <w:rsid w:val="00AC7127"/>
    <w:rsid w:val="00AE2E71"/>
    <w:rsid w:val="00B05BF3"/>
    <w:rsid w:val="00B06EA3"/>
    <w:rsid w:val="00B15A92"/>
    <w:rsid w:val="00B24071"/>
    <w:rsid w:val="00B33C50"/>
    <w:rsid w:val="00B409AC"/>
    <w:rsid w:val="00B55C68"/>
    <w:rsid w:val="00B84C90"/>
    <w:rsid w:val="00B912DA"/>
    <w:rsid w:val="00BB1DA9"/>
    <w:rsid w:val="00BF1635"/>
    <w:rsid w:val="00C105FB"/>
    <w:rsid w:val="00C123D7"/>
    <w:rsid w:val="00C13877"/>
    <w:rsid w:val="00C22451"/>
    <w:rsid w:val="00C22744"/>
    <w:rsid w:val="00C30F75"/>
    <w:rsid w:val="00C53FD7"/>
    <w:rsid w:val="00C75FB3"/>
    <w:rsid w:val="00C86BF0"/>
    <w:rsid w:val="00C913D8"/>
    <w:rsid w:val="00CB3A96"/>
    <w:rsid w:val="00CE6320"/>
    <w:rsid w:val="00CF1AEA"/>
    <w:rsid w:val="00D15AA2"/>
    <w:rsid w:val="00D2298C"/>
    <w:rsid w:val="00D32979"/>
    <w:rsid w:val="00D33A46"/>
    <w:rsid w:val="00D4282D"/>
    <w:rsid w:val="00D6155F"/>
    <w:rsid w:val="00D67DBF"/>
    <w:rsid w:val="00D77C91"/>
    <w:rsid w:val="00DA0857"/>
    <w:rsid w:val="00DF0CCC"/>
    <w:rsid w:val="00DF15E3"/>
    <w:rsid w:val="00E162BD"/>
    <w:rsid w:val="00E21273"/>
    <w:rsid w:val="00E333B7"/>
    <w:rsid w:val="00E37A5A"/>
    <w:rsid w:val="00E44DE1"/>
    <w:rsid w:val="00E62F75"/>
    <w:rsid w:val="00E83629"/>
    <w:rsid w:val="00E91315"/>
    <w:rsid w:val="00EC6199"/>
    <w:rsid w:val="00ED225A"/>
    <w:rsid w:val="00EF6FC5"/>
    <w:rsid w:val="00F302AE"/>
    <w:rsid w:val="00F311DF"/>
    <w:rsid w:val="00F4483D"/>
    <w:rsid w:val="00F629F7"/>
    <w:rsid w:val="00F6498A"/>
    <w:rsid w:val="00F87550"/>
    <w:rsid w:val="00FD346B"/>
    <w:rsid w:val="00FE5EF4"/>
    <w:rsid w:val="00FF75F9"/>
    <w:rsid w:val="00FF7DD3"/>
  </w:rsids>
  <m:mathPr>
    <m:mathFont m:val="Cambria Math"/>
    <m:brkBin m:val="before"/>
    <m:brkBinSub m:val="--"/>
    <m:smallFrac m:val="0"/>
    <m:dispDef/>
    <m:lMargin m:val="0"/>
    <m:rMargin m:val="0"/>
    <m:defJc m:val="centerGroup"/>
    <m:wrapIndent m:val="1440"/>
    <m:intLim m:val="subSup"/>
    <m:naryLim m:val="undOvr"/>
  </m:mathPr>
  <w:themeFontLang w:val="en-I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3BD6B"/>
  <w15:chartTrackingRefBased/>
  <w15:docId w15:val="{8FE535E8-345A-40E0-8A68-CDF60F76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7D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7DBF"/>
  </w:style>
  <w:style w:type="paragraph" w:styleId="Footer">
    <w:name w:val="footer"/>
    <w:basedOn w:val="Normal"/>
    <w:link w:val="FooterChar"/>
    <w:uiPriority w:val="99"/>
    <w:unhideWhenUsed/>
    <w:rsid w:val="00557D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7DBF"/>
  </w:style>
  <w:style w:type="paragraph" w:styleId="ListParagraph">
    <w:name w:val="List Paragraph"/>
    <w:basedOn w:val="Normal"/>
    <w:uiPriority w:val="34"/>
    <w:qFormat/>
    <w:rsid w:val="008D3810"/>
    <w:pPr>
      <w:ind w:left="720"/>
      <w:contextualSpacing/>
    </w:pPr>
  </w:style>
  <w:style w:type="table" w:styleId="TableGrid">
    <w:name w:val="Table Grid"/>
    <w:basedOn w:val="TableNormal"/>
    <w:uiPriority w:val="39"/>
    <w:rsid w:val="00952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976B6"/>
    <w:pPr>
      <w:spacing w:after="0" w:line="240" w:lineRule="auto"/>
    </w:pPr>
  </w:style>
  <w:style w:type="paragraph" w:styleId="ListBullet">
    <w:name w:val="List Bullet"/>
    <w:basedOn w:val="Normal"/>
    <w:uiPriority w:val="99"/>
    <w:unhideWhenUsed/>
    <w:rsid w:val="00FD346B"/>
    <w:pPr>
      <w:numPr>
        <w:numId w:val="5"/>
      </w:numPr>
      <w:contextualSpacing/>
    </w:pPr>
  </w:style>
  <w:style w:type="paragraph" w:styleId="FootnoteText">
    <w:name w:val="footnote text"/>
    <w:basedOn w:val="Normal"/>
    <w:link w:val="FootnoteTextChar"/>
    <w:uiPriority w:val="99"/>
    <w:semiHidden/>
    <w:unhideWhenUsed/>
    <w:rsid w:val="004F65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6582"/>
    <w:rPr>
      <w:sz w:val="20"/>
      <w:szCs w:val="20"/>
    </w:rPr>
  </w:style>
  <w:style w:type="character" w:styleId="FootnoteReference">
    <w:name w:val="footnote reference"/>
    <w:basedOn w:val="DefaultParagraphFont"/>
    <w:uiPriority w:val="99"/>
    <w:semiHidden/>
    <w:unhideWhenUsed/>
    <w:rsid w:val="004F6582"/>
    <w:rPr>
      <w:vertAlign w:val="superscript"/>
    </w:rPr>
  </w:style>
  <w:style w:type="character" w:styleId="Hyperlink">
    <w:name w:val="Hyperlink"/>
    <w:basedOn w:val="DefaultParagraphFont"/>
    <w:uiPriority w:val="99"/>
    <w:unhideWhenUsed/>
    <w:rsid w:val="002C7625"/>
    <w:rPr>
      <w:color w:val="0563C1" w:themeColor="hyperlink"/>
      <w:u w:val="single"/>
    </w:rPr>
  </w:style>
  <w:style w:type="character" w:styleId="UnresolvedMention">
    <w:name w:val="Unresolved Mention"/>
    <w:basedOn w:val="DefaultParagraphFont"/>
    <w:uiPriority w:val="99"/>
    <w:semiHidden/>
    <w:unhideWhenUsed/>
    <w:rsid w:val="002C7625"/>
    <w:rPr>
      <w:color w:val="605E5C"/>
      <w:shd w:val="clear" w:color="auto" w:fill="E1DFDD"/>
    </w:rPr>
  </w:style>
  <w:style w:type="character" w:styleId="Emphasis">
    <w:name w:val="Emphasis"/>
    <w:basedOn w:val="DefaultParagraphFont"/>
    <w:uiPriority w:val="20"/>
    <w:qFormat/>
    <w:rsid w:val="00457051"/>
    <w:rPr>
      <w:i/>
      <w:iCs/>
    </w:rPr>
  </w:style>
  <w:style w:type="character" w:styleId="CommentReference">
    <w:name w:val="annotation reference"/>
    <w:basedOn w:val="DefaultParagraphFont"/>
    <w:uiPriority w:val="99"/>
    <w:semiHidden/>
    <w:unhideWhenUsed/>
    <w:rsid w:val="006A5314"/>
    <w:rPr>
      <w:sz w:val="16"/>
      <w:szCs w:val="16"/>
    </w:rPr>
  </w:style>
  <w:style w:type="paragraph" w:styleId="CommentText">
    <w:name w:val="annotation text"/>
    <w:basedOn w:val="Normal"/>
    <w:link w:val="CommentTextChar"/>
    <w:uiPriority w:val="99"/>
    <w:unhideWhenUsed/>
    <w:rsid w:val="006A5314"/>
    <w:pPr>
      <w:spacing w:line="240" w:lineRule="auto"/>
    </w:pPr>
    <w:rPr>
      <w:rFonts w:eastAsiaTheme="minorEastAsia"/>
      <w:sz w:val="20"/>
      <w:szCs w:val="20"/>
      <w:lang w:val="en-SG" w:eastAsia="zh-CN"/>
    </w:rPr>
  </w:style>
  <w:style w:type="character" w:customStyle="1" w:styleId="CommentTextChar">
    <w:name w:val="Comment Text Char"/>
    <w:basedOn w:val="DefaultParagraphFont"/>
    <w:link w:val="CommentText"/>
    <w:uiPriority w:val="99"/>
    <w:rsid w:val="006A5314"/>
    <w:rPr>
      <w:rFonts w:eastAsiaTheme="minorEastAsia"/>
      <w:sz w:val="20"/>
      <w:szCs w:val="20"/>
      <w:lang w:val="en-SG" w:eastAsia="zh-CN"/>
    </w:rPr>
  </w:style>
  <w:style w:type="paragraph" w:styleId="CommentSubject">
    <w:name w:val="annotation subject"/>
    <w:basedOn w:val="CommentText"/>
    <w:next w:val="CommentText"/>
    <w:link w:val="CommentSubjectChar"/>
    <w:uiPriority w:val="99"/>
    <w:semiHidden/>
    <w:unhideWhenUsed/>
    <w:rsid w:val="00FF7DD3"/>
    <w:rPr>
      <w:rFonts w:eastAsiaTheme="minorHAnsi"/>
      <w:b/>
      <w:bCs/>
      <w:lang w:val="en-IN" w:eastAsia="en-US"/>
    </w:rPr>
  </w:style>
  <w:style w:type="character" w:customStyle="1" w:styleId="CommentSubjectChar">
    <w:name w:val="Comment Subject Char"/>
    <w:basedOn w:val="CommentTextChar"/>
    <w:link w:val="CommentSubject"/>
    <w:uiPriority w:val="99"/>
    <w:semiHidden/>
    <w:rsid w:val="00FF7DD3"/>
    <w:rPr>
      <w:rFonts w:eastAsiaTheme="minorEastAsia"/>
      <w:b/>
      <w:bCs/>
      <w:sz w:val="20"/>
      <w:szCs w:val="20"/>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20854">
      <w:bodyDiv w:val="1"/>
      <w:marLeft w:val="0"/>
      <w:marRight w:val="0"/>
      <w:marTop w:val="0"/>
      <w:marBottom w:val="0"/>
      <w:divBdr>
        <w:top w:val="none" w:sz="0" w:space="0" w:color="auto"/>
        <w:left w:val="none" w:sz="0" w:space="0" w:color="auto"/>
        <w:bottom w:val="none" w:sz="0" w:space="0" w:color="auto"/>
        <w:right w:val="none" w:sz="0" w:space="0" w:color="auto"/>
      </w:divBdr>
      <w:divsChild>
        <w:div w:id="1152136970">
          <w:marLeft w:val="36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BB544-5E8C-47CA-81C3-46666736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1132</Words>
  <Characters>6457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 Van Berkel</dc:creator>
  <cp:keywords/>
  <dc:description/>
  <cp:lastModifiedBy>Orathai Koonkuntod</cp:lastModifiedBy>
  <cp:revision>2</cp:revision>
  <cp:lastPrinted>2025-02-06T03:01:00Z</cp:lastPrinted>
  <dcterms:created xsi:type="dcterms:W3CDTF">2025-02-11T20:27:00Z</dcterms:created>
  <dcterms:modified xsi:type="dcterms:W3CDTF">2025-02-11T20:27:00Z</dcterms:modified>
</cp:coreProperties>
</file>